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sz w:val="44"/>
          <w:szCs w:val="44"/>
        </w:rPr>
      </w:pPr>
    </w:p>
    <w:p>
      <w:pPr>
        <w:spacing w:line="560" w:lineRule="exact"/>
        <w:jc w:val="center"/>
        <w:rPr>
          <w:rFonts w:hint="eastAsia" w:ascii="方正小标宋简体" w:hAnsi="方正小标宋简体" w:eastAsia="方正小标宋简体" w:cs="方正小标宋简体"/>
          <w:bCs/>
          <w:sz w:val="44"/>
          <w:szCs w:val="44"/>
          <w:lang w:eastAsia="zh-CN"/>
        </w:rPr>
      </w:pPr>
      <w:bookmarkStart w:id="0" w:name="_GoBack"/>
      <w:r>
        <w:rPr>
          <w:rFonts w:hint="eastAsia" w:ascii="方正小标宋简体" w:hAnsi="方正小标宋简体" w:eastAsia="方正小标宋简体" w:cs="方正小标宋简体"/>
          <w:bCs/>
          <w:sz w:val="44"/>
          <w:szCs w:val="44"/>
        </w:rPr>
        <w:t>2022年汕尾市中央预算内投资的分配方案</w:t>
      </w:r>
    </w:p>
    <w:p>
      <w:pPr>
        <w:spacing w:line="560" w:lineRule="exact"/>
        <w:ind w:firstLine="420"/>
        <w:jc w:val="center"/>
        <w:rPr>
          <w:rFonts w:ascii="仿宋" w:hAnsi="仿宋" w:eastAsia="仿宋" w:cs="仿宋"/>
          <w:sz w:val="32"/>
          <w:szCs w:val="32"/>
        </w:rPr>
      </w:pPr>
    </w:p>
    <w:p>
      <w:pPr>
        <w:spacing w:line="560" w:lineRule="exact"/>
        <w:ind w:firstLine="420"/>
        <w:jc w:val="center"/>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对于2022年中央预算内投资的</w:t>
      </w:r>
      <w:r>
        <w:rPr>
          <w:rFonts w:ascii="仿宋" w:hAnsi="仿宋" w:eastAsia="仿宋" w:cs="仿宋"/>
          <w:sz w:val="32"/>
          <w:szCs w:val="32"/>
        </w:rPr>
        <w:t>4</w:t>
      </w:r>
      <w:r>
        <w:rPr>
          <w:rFonts w:hint="eastAsia" w:ascii="仿宋" w:hAnsi="仿宋" w:eastAsia="仿宋" w:cs="仿宋"/>
          <w:sz w:val="32"/>
          <w:szCs w:val="32"/>
        </w:rPr>
        <w:t>亿元计划，综合考虑申报领域的对口性、申报资金的可得性、量化考核的可操作性等因素，以及借鉴周边城市的有益经验，经过测算，水利工程投资为</w:t>
      </w:r>
      <w:r>
        <w:rPr>
          <w:rFonts w:ascii="仿宋" w:hAnsi="仿宋" w:eastAsia="仿宋" w:cs="仿宋"/>
          <w:sz w:val="32"/>
          <w:szCs w:val="32"/>
        </w:rPr>
        <w:t>8</w:t>
      </w:r>
      <w:r>
        <w:rPr>
          <w:rFonts w:hint="eastAsia" w:ascii="仿宋" w:hAnsi="仿宋" w:eastAsia="仿宋" w:cs="仿宋"/>
          <w:sz w:val="32"/>
          <w:szCs w:val="32"/>
        </w:rPr>
        <w:t>000万元，教育强国推进工程为5</w:t>
      </w:r>
      <w:r>
        <w:rPr>
          <w:rFonts w:ascii="仿宋" w:hAnsi="仿宋" w:eastAsia="仿宋" w:cs="仿宋"/>
          <w:sz w:val="32"/>
          <w:szCs w:val="32"/>
        </w:rPr>
        <w:t>4</w:t>
      </w:r>
      <w:r>
        <w:rPr>
          <w:rFonts w:hint="eastAsia" w:ascii="仿宋" w:hAnsi="仿宋" w:eastAsia="仿宋" w:cs="仿宋"/>
          <w:sz w:val="32"/>
          <w:szCs w:val="32"/>
        </w:rPr>
        <w:t>00万元，医疗卫生体系为5</w:t>
      </w:r>
      <w:r>
        <w:rPr>
          <w:rFonts w:ascii="仿宋" w:hAnsi="仿宋" w:eastAsia="仿宋" w:cs="仿宋"/>
          <w:sz w:val="32"/>
          <w:szCs w:val="32"/>
        </w:rPr>
        <w:t>4</w:t>
      </w:r>
      <w:r>
        <w:rPr>
          <w:rFonts w:hint="eastAsia" w:ascii="仿宋" w:hAnsi="仿宋" w:eastAsia="仿宋" w:cs="仿宋"/>
          <w:sz w:val="32"/>
          <w:szCs w:val="32"/>
        </w:rPr>
        <w:t>00万元，保障性安居工程为4</w:t>
      </w:r>
      <w:r>
        <w:rPr>
          <w:rFonts w:ascii="仿宋" w:hAnsi="仿宋" w:eastAsia="仿宋" w:cs="仿宋"/>
          <w:sz w:val="32"/>
          <w:szCs w:val="32"/>
        </w:rPr>
        <w:t>600</w:t>
      </w:r>
      <w:r>
        <w:rPr>
          <w:rFonts w:hint="eastAsia" w:ascii="仿宋" w:hAnsi="仿宋" w:eastAsia="仿宋" w:cs="仿宋"/>
          <w:sz w:val="32"/>
          <w:szCs w:val="32"/>
        </w:rPr>
        <w:t>万元，排水设施建设为</w:t>
      </w:r>
      <w:r>
        <w:rPr>
          <w:rFonts w:ascii="仿宋" w:hAnsi="仿宋" w:eastAsia="仿宋" w:cs="仿宋"/>
          <w:sz w:val="32"/>
          <w:szCs w:val="32"/>
        </w:rPr>
        <w:t>4600</w:t>
      </w:r>
      <w:r>
        <w:rPr>
          <w:rFonts w:hint="eastAsia" w:ascii="仿宋" w:hAnsi="仿宋" w:eastAsia="仿宋" w:cs="仿宋"/>
          <w:sz w:val="32"/>
          <w:szCs w:val="32"/>
        </w:rPr>
        <w:t>万元，污染治理和节能减碳、人口老龄化工程和托育建设项目、城乡冷链和国家物流枢纽建设、社会服务设施兜底线工程、文化保护传承利用工程、粮食等重要农产品仓储设施、教育强国推进工程（公共实训基地建设方向）、全民健身设施补短板工程、新一代信息基础设施领域和农业领域分别为</w:t>
      </w:r>
      <w:r>
        <w:rPr>
          <w:rFonts w:ascii="仿宋" w:hAnsi="仿宋" w:eastAsia="仿宋" w:cs="仿宋"/>
          <w:sz w:val="32"/>
          <w:szCs w:val="32"/>
        </w:rPr>
        <w:t>12</w:t>
      </w:r>
      <w:r>
        <w:rPr>
          <w:rFonts w:hint="eastAsia" w:ascii="仿宋" w:hAnsi="仿宋" w:eastAsia="仿宋" w:cs="仿宋"/>
          <w:sz w:val="32"/>
          <w:szCs w:val="32"/>
        </w:rPr>
        <w:t>00万元，合计为4亿元（表1）。</w:t>
      </w:r>
    </w:p>
    <w:p>
      <w:pPr>
        <w:spacing w:line="560" w:lineRule="exact"/>
        <w:ind w:firstLine="640" w:firstLineChars="200"/>
        <w:rPr>
          <w:rFonts w:ascii="Times New Roman" w:hAnsi="Times New Roman" w:eastAsia="仿宋"/>
          <w:sz w:val="32"/>
          <w:szCs w:val="32"/>
        </w:rPr>
      </w:pPr>
      <w:r>
        <w:rPr>
          <w:rFonts w:hint="eastAsia" w:ascii="仿宋" w:hAnsi="仿宋" w:eastAsia="仿宋" w:cs="仿宋"/>
          <w:sz w:val="32"/>
          <w:szCs w:val="32"/>
        </w:rPr>
        <w:t>考虑到市直责任单位和县（市、区）的项目申报、任务分配等方面可能存在着交叉重叠，对此，采用专家咨询法，先将中央预算内投资的</w:t>
      </w:r>
      <w:r>
        <w:rPr>
          <w:rFonts w:ascii="仿宋" w:hAnsi="仿宋" w:eastAsia="仿宋" w:cs="仿宋"/>
          <w:sz w:val="32"/>
          <w:szCs w:val="32"/>
        </w:rPr>
        <w:t>4</w:t>
      </w:r>
      <w:r>
        <w:rPr>
          <w:rFonts w:hint="eastAsia" w:ascii="仿宋" w:hAnsi="仿宋" w:eastAsia="仿宋" w:cs="仿宋"/>
          <w:sz w:val="32"/>
          <w:szCs w:val="32"/>
        </w:rPr>
        <w:t>亿元分配给市直责任单位，再将</w:t>
      </w:r>
      <w:r>
        <w:rPr>
          <w:rFonts w:ascii="仿宋" w:hAnsi="仿宋" w:eastAsia="仿宋" w:cs="仿宋"/>
          <w:sz w:val="32"/>
          <w:szCs w:val="32"/>
        </w:rPr>
        <w:t>4</w:t>
      </w:r>
      <w:r>
        <w:rPr>
          <w:rFonts w:hint="eastAsia" w:ascii="仿宋" w:hAnsi="仿宋" w:eastAsia="仿宋" w:cs="仿宋"/>
          <w:sz w:val="32"/>
          <w:szCs w:val="32"/>
        </w:rPr>
        <w:t>亿元分配给各县（市、区）。最终进行考核时，若市直责任单位作为行业主管部门或指导部门，协同或督导县（市、区）相关部门去争取中央预算内投资资金，则同时记为市直责任单位和县（市、区）的任务完成量，以提高两者协同推进的积极性，避免无储备或无申报项目的市直责任单位陷入消极</w:t>
      </w:r>
      <w:r>
        <w:rPr>
          <w:rFonts w:hint="eastAsia" w:ascii="Times New Roman" w:hAnsi="Times New Roman" w:eastAsia="仿宋"/>
          <w:sz w:val="32"/>
          <w:szCs w:val="32"/>
        </w:rPr>
        <w:t>被动。</w:t>
      </w:r>
    </w:p>
    <w:p>
      <w:pPr>
        <w:spacing w:line="560" w:lineRule="exact"/>
        <w:rPr>
          <w:rFonts w:ascii="仿宋" w:hAnsi="仿宋" w:eastAsia="仿宋" w:cs="仿宋"/>
          <w:sz w:val="32"/>
          <w:szCs w:val="32"/>
        </w:rPr>
      </w:pPr>
    </w:p>
    <w:p>
      <w:pPr>
        <w:spacing w:line="280" w:lineRule="exact"/>
        <w:rPr>
          <w:rFonts w:ascii="仿宋" w:hAnsi="仿宋" w:eastAsia="仿宋" w:cs="仿宋"/>
          <w:sz w:val="32"/>
          <w:szCs w:val="32"/>
        </w:rPr>
      </w:pPr>
    </w:p>
    <w:p>
      <w:pPr>
        <w:spacing w:line="280" w:lineRule="exact"/>
        <w:ind w:firstLine="420" w:firstLineChars="200"/>
        <w:jc w:val="center"/>
        <w:rPr>
          <w:rFonts w:ascii="Times New Roman" w:hAnsi="Times New Roman" w:eastAsia="仿宋"/>
          <w:szCs w:val="21"/>
        </w:rPr>
      </w:pPr>
      <w:r>
        <w:rPr>
          <w:rFonts w:hint="eastAsia" w:ascii="Times New Roman" w:hAnsi="Times New Roman" w:eastAsia="仿宋"/>
          <w:szCs w:val="21"/>
        </w:rPr>
        <w:t>表1</w:t>
      </w:r>
      <w:r>
        <w:rPr>
          <w:rFonts w:ascii="Times New Roman" w:hAnsi="Times New Roman" w:eastAsia="仿宋"/>
          <w:szCs w:val="21"/>
        </w:rPr>
        <w:t xml:space="preserve"> 2022</w:t>
      </w:r>
      <w:r>
        <w:rPr>
          <w:rFonts w:hint="eastAsia" w:ascii="Times New Roman" w:hAnsi="Times New Roman" w:eastAsia="仿宋"/>
          <w:szCs w:val="21"/>
        </w:rPr>
        <w:t>年汕尾市各申报领域的中央预算内投资的分配方案</w:t>
      </w:r>
    </w:p>
    <w:tbl>
      <w:tblPr>
        <w:tblStyle w:val="4"/>
        <w:tblW w:w="8788" w:type="dxa"/>
        <w:jc w:val="center"/>
        <w:tblLayout w:type="fixed"/>
        <w:tblCellMar>
          <w:top w:w="0" w:type="dxa"/>
          <w:left w:w="108" w:type="dxa"/>
          <w:bottom w:w="0" w:type="dxa"/>
          <w:right w:w="108" w:type="dxa"/>
        </w:tblCellMar>
      </w:tblPr>
      <w:tblGrid>
        <w:gridCol w:w="1843"/>
        <w:gridCol w:w="5811"/>
        <w:gridCol w:w="1134"/>
      </w:tblGrid>
      <w:tr>
        <w:tblPrEx>
          <w:tblCellMar>
            <w:top w:w="0" w:type="dxa"/>
            <w:left w:w="108" w:type="dxa"/>
            <w:bottom w:w="0" w:type="dxa"/>
            <w:right w:w="108" w:type="dxa"/>
          </w:tblCellMar>
        </w:tblPrEx>
        <w:trPr>
          <w:trHeight w:val="280" w:hRule="atLeast"/>
          <w:jc w:val="center"/>
        </w:trPr>
        <w:tc>
          <w:tcPr>
            <w:tcW w:w="1843" w:type="dxa"/>
            <w:tcBorders>
              <w:top w:val="single" w:color="auto" w:sz="4" w:space="0"/>
              <w:left w:val="nil"/>
              <w:bottom w:val="single" w:color="auto" w:sz="4" w:space="0"/>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申报领域</w:t>
            </w:r>
          </w:p>
        </w:tc>
        <w:tc>
          <w:tcPr>
            <w:tcW w:w="5811" w:type="dxa"/>
            <w:tcBorders>
              <w:top w:val="single" w:color="auto" w:sz="4" w:space="0"/>
              <w:left w:val="nil"/>
              <w:bottom w:val="single" w:color="auto" w:sz="4" w:space="0"/>
              <w:right w:val="nil"/>
            </w:tcBorders>
            <w:vAlign w:val="center"/>
          </w:tcPr>
          <w:p>
            <w:pPr>
              <w:widowControl/>
              <w:spacing w:line="28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具体板块</w:t>
            </w:r>
          </w:p>
        </w:tc>
        <w:tc>
          <w:tcPr>
            <w:tcW w:w="1134" w:type="dxa"/>
            <w:tcBorders>
              <w:top w:val="single" w:color="auto" w:sz="4" w:space="0"/>
              <w:left w:val="nil"/>
              <w:bottom w:val="single" w:color="auto" w:sz="4" w:space="0"/>
              <w:right w:val="nil"/>
            </w:tcBorders>
            <w:shd w:val="clear" w:color="auto" w:fill="auto"/>
            <w:noWrap/>
            <w:vAlign w:val="bottom"/>
          </w:tcPr>
          <w:p>
            <w:pPr>
              <w:widowControl/>
              <w:spacing w:line="28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分配金额(万元</w:t>
            </w:r>
            <w:r>
              <w:rPr>
                <w:rFonts w:ascii="Times New Roman" w:hAnsi="Times New Roman" w:eastAsia="仿宋" w:cs="宋体"/>
                <w:color w:val="000000"/>
                <w:kern w:val="0"/>
                <w:szCs w:val="21"/>
              </w:rPr>
              <w:t>)</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水利工程投资</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重大水资源配置工程；水安全保障工程专项，包括中小河流治理和重点区域排涝、大中型病险水库除险加固、中型水库、淤地坝及坡耕地综合治理、水文基础设施、永定河等重点水生态治理</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8</w:t>
            </w:r>
            <w:r>
              <w:rPr>
                <w:rFonts w:hint="eastAsia" w:ascii="Times New Roman" w:hAnsi="Times New Roman" w:eastAsia="仿宋" w:cs="宋体"/>
                <w:color w:val="000000"/>
                <w:kern w:val="0"/>
                <w:szCs w:val="21"/>
              </w:rPr>
              <w:t>000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教育强国推进工程</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职业院校、应用型本科高校、优质医学和师范院校建设</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54</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医疗卫生体系</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现代化疾病预防控制体系建设、县级医院提标扩能建设、妇女儿童健康服务能力建设、促进中医院传承创新工程、</w:t>
            </w:r>
            <w:r>
              <w:rPr>
                <w:rFonts w:ascii="Times New Roman" w:hAnsi="Times New Roman" w:eastAsia="仿宋" w:cs="宋体"/>
                <w:color w:val="000000"/>
                <w:kern w:val="0"/>
                <w:szCs w:val="21"/>
              </w:rPr>
              <w:t xml:space="preserve"> “十三五”疑难病症政治能力提升工程和中医药传承创新工程</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54</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保障性安居工程</w:t>
            </w:r>
          </w:p>
        </w:tc>
        <w:tc>
          <w:tcPr>
            <w:tcW w:w="5811" w:type="dxa"/>
            <w:tcBorders>
              <w:top w:val="nil"/>
              <w:left w:val="nil"/>
              <w:bottom w:val="nil"/>
              <w:right w:val="nil"/>
            </w:tcBorders>
          </w:tcPr>
          <w:p>
            <w:pPr>
              <w:widowControl/>
              <w:spacing w:line="280" w:lineRule="exact"/>
              <w:jc w:val="left"/>
              <w:rPr>
                <w:rFonts w:ascii="Times New Roman" w:hAnsi="Times New Roman" w:eastAsia="仿宋" w:cs="宋体"/>
                <w:color w:val="000000"/>
                <w:kern w:val="0"/>
                <w:szCs w:val="21"/>
              </w:rPr>
            </w:pPr>
            <w:r>
              <w:rPr>
                <w:rFonts w:ascii="Times New Roman" w:hAnsi="Times New Roman" w:eastAsia="仿宋" w:cs="宋体"/>
                <w:color w:val="000000"/>
                <w:kern w:val="0"/>
                <w:szCs w:val="21"/>
              </w:rPr>
              <w:t>城市、县城（城关镇）老旧小区改造配套基础设施建设</w:t>
            </w:r>
          </w:p>
        </w:tc>
        <w:tc>
          <w:tcPr>
            <w:tcW w:w="1134" w:type="dxa"/>
            <w:tcBorders>
              <w:top w:val="nil"/>
              <w:left w:val="nil"/>
              <w:bottom w:val="nil"/>
              <w:right w:val="nil"/>
            </w:tcBorders>
            <w:shd w:val="clear" w:color="auto" w:fill="auto"/>
            <w:noWrap/>
            <w:vAlign w:val="center"/>
          </w:tcPr>
          <w:p>
            <w:pPr>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4600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排水设施建设</w:t>
            </w:r>
          </w:p>
        </w:tc>
        <w:tc>
          <w:tcPr>
            <w:tcW w:w="5811" w:type="dxa"/>
            <w:tcBorders>
              <w:top w:val="nil"/>
              <w:left w:val="nil"/>
              <w:bottom w:val="nil"/>
              <w:right w:val="nil"/>
            </w:tcBorders>
          </w:tcPr>
          <w:p>
            <w:pPr>
              <w:jc w:val="left"/>
              <w:rPr>
                <w:rFonts w:ascii="Times New Roman" w:hAnsi="Times New Roman" w:eastAsia="仿宋" w:cs="宋体"/>
                <w:bCs/>
                <w:color w:val="000000"/>
                <w:kern w:val="0"/>
                <w:szCs w:val="21"/>
              </w:rPr>
            </w:pPr>
            <w:r>
              <w:rPr>
                <w:rFonts w:ascii="Times New Roman" w:hAnsi="Times New Roman" w:eastAsia="仿宋" w:cs="宋体"/>
                <w:bCs/>
                <w:color w:val="000000"/>
                <w:kern w:val="0"/>
                <w:szCs w:val="21"/>
              </w:rPr>
              <w:t>排水管网建设与改造、泵站建设与改造、排涝通道建设、智慧平台建设</w:t>
            </w:r>
          </w:p>
        </w:tc>
        <w:tc>
          <w:tcPr>
            <w:tcW w:w="1134" w:type="dxa"/>
            <w:tcBorders>
              <w:top w:val="nil"/>
              <w:left w:val="nil"/>
              <w:bottom w:val="nil"/>
              <w:right w:val="nil"/>
            </w:tcBorders>
            <w:shd w:val="clear" w:color="auto" w:fill="auto"/>
            <w:noWrap/>
            <w:vAlign w:val="center"/>
          </w:tcPr>
          <w:p>
            <w:pPr>
              <w:jc w:val="center"/>
              <w:rPr>
                <w:rFonts w:ascii="Times New Roman" w:hAnsi="Times New Roman" w:eastAsia="仿宋" w:cs="宋体"/>
                <w:bCs/>
                <w:color w:val="000000"/>
                <w:kern w:val="0"/>
                <w:szCs w:val="21"/>
              </w:rPr>
            </w:pPr>
            <w:r>
              <w:rPr>
                <w:rFonts w:ascii="Times New Roman" w:hAnsi="Times New Roman" w:eastAsia="仿宋" w:cs="宋体"/>
                <w:bCs/>
                <w:color w:val="000000"/>
                <w:kern w:val="0"/>
                <w:szCs w:val="21"/>
              </w:rPr>
              <w:t>4600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污染治理和节能减碳</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污水垃圾处理等环境基础设施建设、节能减排、资源节约与高效利用、突出环境污染治理</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人口老龄化工程和托育建设项目</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公办养老服务机构能力提升项目、普惠养老城企联动专项行动（“社区、医养、旅居、培训养老机构转型为养老服务设施”</w:t>
            </w:r>
            <w:r>
              <w:rPr>
                <w:rFonts w:ascii="Times New Roman" w:hAnsi="Times New Roman" w:eastAsia="仿宋" w:cs="宋体"/>
                <w:color w:val="000000"/>
                <w:kern w:val="0"/>
                <w:szCs w:val="21"/>
              </w:rPr>
              <w:t>4类项目）、公办托育服务能力建设项目、普惠托育服务专项行动</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城乡冷链和国家物流枢纽建设</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肉类冷链物流设施项目</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社会服务设施兜底线工程</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儿童福利设施、未成年人保护设施、流浪乞讨人员救助管理站、殡葬服务设施、精神卫生福利设施、烈士纪念设施、光荣院、残疾人康复设施、残疾人托养设施</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文化保护传承利用工程</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国家文化公园建设、国家重点文物保护和考古发掘、国家公园等重要自然遗产保护展示、重大旅游基础设施建设</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粮食等重要农产品仓储设施</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与地方政府粮食储备配套的粮食仓储物流设施项目，政策性粮食收购有仓容缺口区域的粮食仓储设施项目</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教育强国推进工程（公共实训基地建设方向）</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公共实训基地</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全民健身设施补短板工程</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体育公园、全民健身中心（小型体育综合体）、公共体育场中标准田径跑道和标准足球场地、社会足球场、健身步道、户外运动公共服务设施</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新一代信息基础设施领域</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密件</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农业领域</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现代种业提升工程；动植物保护项目包括动物保护能力提升工程、植物保护能力提升工程、进出境动植物检疫能力提升工程；农业行业基础能力建设项目；畜禽粪污资源化利用整县推进项目</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nil"/>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政法基础设施</w:t>
            </w:r>
          </w:p>
        </w:tc>
        <w:tc>
          <w:tcPr>
            <w:tcW w:w="5811" w:type="dxa"/>
            <w:tcBorders>
              <w:top w:val="nil"/>
              <w:left w:val="nil"/>
              <w:bottom w:val="nil"/>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密件（2</w:t>
            </w:r>
            <w:r>
              <w:rPr>
                <w:rFonts w:ascii="Times New Roman" w:hAnsi="Times New Roman" w:eastAsia="仿宋" w:cs="宋体"/>
                <w:color w:val="000000"/>
                <w:kern w:val="0"/>
                <w:szCs w:val="21"/>
              </w:rPr>
              <w:t>022</w:t>
            </w:r>
            <w:r>
              <w:rPr>
                <w:rFonts w:hint="eastAsia" w:ascii="Times New Roman" w:hAnsi="Times New Roman" w:eastAsia="仿宋" w:cs="宋体"/>
                <w:color w:val="000000"/>
                <w:kern w:val="0"/>
                <w:szCs w:val="21"/>
              </w:rPr>
              <w:t>年未列入中央预算内投资的支持方向）</w:t>
            </w:r>
          </w:p>
        </w:tc>
        <w:tc>
          <w:tcPr>
            <w:tcW w:w="1134" w:type="dxa"/>
            <w:tcBorders>
              <w:top w:val="nil"/>
              <w:left w:val="nil"/>
              <w:bottom w:val="nil"/>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0</w:t>
            </w:r>
          </w:p>
        </w:tc>
      </w:tr>
      <w:tr>
        <w:tblPrEx>
          <w:tblCellMar>
            <w:top w:w="0" w:type="dxa"/>
            <w:left w:w="108" w:type="dxa"/>
            <w:bottom w:w="0" w:type="dxa"/>
            <w:right w:w="108" w:type="dxa"/>
          </w:tblCellMar>
        </w:tblPrEx>
        <w:trPr>
          <w:trHeight w:val="280" w:hRule="atLeast"/>
          <w:jc w:val="center"/>
        </w:trPr>
        <w:tc>
          <w:tcPr>
            <w:tcW w:w="1843" w:type="dxa"/>
            <w:tcBorders>
              <w:top w:val="nil"/>
              <w:left w:val="nil"/>
              <w:bottom w:val="single" w:color="auto" w:sz="4" w:space="0"/>
              <w:right w:val="nil"/>
            </w:tcBorders>
            <w:shd w:val="clear" w:color="auto" w:fill="auto"/>
            <w:noWrap/>
            <w:vAlign w:val="center"/>
          </w:tcPr>
          <w:p>
            <w:pPr>
              <w:widowControl/>
              <w:spacing w:line="280" w:lineRule="exact"/>
              <w:jc w:val="left"/>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保障性租赁住房</w:t>
            </w:r>
          </w:p>
        </w:tc>
        <w:tc>
          <w:tcPr>
            <w:tcW w:w="5811" w:type="dxa"/>
            <w:tcBorders>
              <w:top w:val="nil"/>
              <w:left w:val="nil"/>
              <w:bottom w:val="single" w:color="auto" w:sz="4" w:space="0"/>
              <w:right w:val="nil"/>
            </w:tcBorders>
            <w:vAlign w:val="center"/>
          </w:tcPr>
          <w:p>
            <w:pPr>
              <w:widowControl/>
              <w:spacing w:line="280" w:lineRule="exact"/>
              <w:jc w:val="left"/>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汕尾市不符合该申报领域</w:t>
            </w:r>
          </w:p>
        </w:tc>
        <w:tc>
          <w:tcPr>
            <w:tcW w:w="1134" w:type="dxa"/>
            <w:tcBorders>
              <w:top w:val="nil"/>
              <w:left w:val="nil"/>
              <w:bottom w:val="single" w:color="auto" w:sz="4" w:space="0"/>
              <w:right w:val="nil"/>
            </w:tcBorders>
            <w:shd w:val="clear" w:color="auto" w:fill="auto"/>
            <w:noWrap/>
            <w:vAlign w:val="center"/>
          </w:tcPr>
          <w:p>
            <w:pPr>
              <w:widowControl/>
              <w:spacing w:line="28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0</w:t>
            </w:r>
          </w:p>
        </w:tc>
      </w:tr>
    </w:tbl>
    <w:p>
      <w:pPr>
        <w:spacing w:line="280" w:lineRule="exact"/>
        <w:rPr>
          <w:rFonts w:ascii="Times New Roman" w:hAnsi="Times New Roman" w:eastAsia="仿宋"/>
          <w:szCs w:val="21"/>
        </w:rPr>
      </w:pPr>
      <w:r>
        <w:rPr>
          <w:rFonts w:hint="eastAsia" w:ascii="Times New Roman" w:hAnsi="Times New Roman" w:eastAsia="仿宋"/>
          <w:szCs w:val="21"/>
        </w:rPr>
        <w:t>注：具体板块为汕尾市符合条件的可申报方向。</w:t>
      </w:r>
    </w:p>
    <w:p>
      <w:pPr>
        <w:spacing w:line="280" w:lineRule="exact"/>
        <w:rPr>
          <w:rFonts w:ascii="Times New Roman" w:hAnsi="Times New Roman" w:eastAsia="仿宋"/>
          <w:szCs w:val="21"/>
        </w:rPr>
      </w:pPr>
    </w:p>
    <w:p>
      <w:pPr>
        <w:spacing w:line="280" w:lineRule="exact"/>
        <w:rPr>
          <w:rFonts w:ascii="Times New Roman" w:hAnsi="Times New Roman" w:eastAsia="仿宋"/>
          <w:szCs w:val="21"/>
        </w:rPr>
      </w:pPr>
    </w:p>
    <w:p>
      <w:pPr>
        <w:spacing w:line="280" w:lineRule="exact"/>
        <w:rPr>
          <w:rFonts w:ascii="Times New Roman" w:hAnsi="Times New Roman" w:eastAsia="仿宋"/>
          <w:szCs w:val="21"/>
        </w:rPr>
      </w:pPr>
    </w:p>
    <w:p>
      <w:pPr>
        <w:spacing w:line="560" w:lineRule="exact"/>
        <w:ind w:firstLine="420" w:firstLineChars="200"/>
        <w:jc w:val="center"/>
        <w:rPr>
          <w:rFonts w:ascii="Times New Roman" w:hAnsi="Times New Roman" w:eastAsia="仿宋"/>
          <w:szCs w:val="21"/>
        </w:rPr>
      </w:pPr>
      <w:r>
        <w:rPr>
          <w:rFonts w:hint="eastAsia" w:ascii="Times New Roman" w:hAnsi="Times New Roman" w:eastAsia="仿宋"/>
          <w:szCs w:val="21"/>
        </w:rPr>
        <w:t>表2</w:t>
      </w:r>
      <w:r>
        <w:rPr>
          <w:rFonts w:ascii="Times New Roman" w:hAnsi="Times New Roman" w:eastAsia="仿宋"/>
          <w:szCs w:val="21"/>
        </w:rPr>
        <w:t xml:space="preserve"> 2022</w:t>
      </w:r>
      <w:r>
        <w:rPr>
          <w:rFonts w:hint="eastAsia" w:ascii="Times New Roman" w:hAnsi="Times New Roman" w:eastAsia="仿宋"/>
          <w:szCs w:val="21"/>
        </w:rPr>
        <w:t>年汕尾市市直责任单位的中央预算内投资的分配方案</w:t>
      </w:r>
    </w:p>
    <w:tbl>
      <w:tblPr>
        <w:tblStyle w:val="4"/>
        <w:tblW w:w="9498" w:type="dxa"/>
        <w:jc w:val="center"/>
        <w:tblLayout w:type="fixed"/>
        <w:tblCellMar>
          <w:top w:w="0" w:type="dxa"/>
          <w:left w:w="108" w:type="dxa"/>
          <w:bottom w:w="0" w:type="dxa"/>
          <w:right w:w="108" w:type="dxa"/>
        </w:tblCellMar>
      </w:tblPr>
      <w:tblGrid>
        <w:gridCol w:w="1985"/>
        <w:gridCol w:w="6379"/>
        <w:gridCol w:w="1134"/>
      </w:tblGrid>
      <w:tr>
        <w:tblPrEx>
          <w:tblCellMar>
            <w:top w:w="0" w:type="dxa"/>
            <w:left w:w="108" w:type="dxa"/>
            <w:bottom w:w="0" w:type="dxa"/>
            <w:right w:w="108" w:type="dxa"/>
          </w:tblCellMar>
        </w:tblPrEx>
        <w:trPr>
          <w:trHeight w:val="280" w:hRule="atLeast"/>
          <w:jc w:val="center"/>
        </w:trPr>
        <w:tc>
          <w:tcPr>
            <w:tcW w:w="1985" w:type="dxa"/>
            <w:tcBorders>
              <w:top w:val="single" w:color="auto" w:sz="4" w:space="0"/>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市直责任单位</w:t>
            </w:r>
          </w:p>
        </w:tc>
        <w:tc>
          <w:tcPr>
            <w:tcW w:w="6379" w:type="dxa"/>
            <w:tcBorders>
              <w:top w:val="single" w:color="auto" w:sz="4" w:space="0"/>
              <w:left w:val="nil"/>
              <w:bottom w:val="single" w:color="auto" w:sz="4" w:space="0"/>
              <w:right w:val="nil"/>
            </w:tcBorders>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涉及领域</w:t>
            </w:r>
          </w:p>
        </w:tc>
        <w:tc>
          <w:tcPr>
            <w:tcW w:w="1134" w:type="dxa"/>
            <w:tcBorders>
              <w:top w:val="single" w:color="auto" w:sz="4" w:space="0"/>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分配金额(万元)</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市住建局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保障性安居工程、排水设施建设、污染治理和节能减碳</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94</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市水务局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水利工程投资</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8</w:t>
            </w:r>
            <w:r>
              <w:rPr>
                <w:rFonts w:hint="eastAsia" w:ascii="Times New Roman" w:hAnsi="Times New Roman" w:eastAsia="仿宋" w:cs="宋体"/>
                <w:color w:val="000000"/>
                <w:kern w:val="0"/>
                <w:szCs w:val="21"/>
              </w:rPr>
              <w:t>000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市卫健局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医疗卫生体系、人口老龄化工程和托育建设项目</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58</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市教育局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教育强国推进工程</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50</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市文广旅体局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全民健身设施补短板工程、文化保护传承利用工程</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24</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市民政局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人口老龄化工程和托育建设项目、社会服务设施兜底线工程</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16</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市人社局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教育强国推进工程（公共实训基地建设方向）、教育强国推进工程</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16</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市发改局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粮食等重要农产品仓储设施、节能减碳</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14</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市工信局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新一代信息基础设施领域</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市供销社</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城乡冷链和国家物流枢纽建设</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市生态环境局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污染治理和节能减碳、农业领域</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10</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市农业农村局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农业领域</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10</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市退役军人事务局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社会服务设施兜底线工程</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市残联</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社会服务设施兜底线工程</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2</w:t>
            </w:r>
            <w:r>
              <w:rPr>
                <w:rFonts w:hint="eastAsia" w:ascii="Times New Roman" w:hAnsi="Times New Roman" w:eastAsia="仿宋" w:cs="宋体"/>
                <w:color w:val="000000"/>
                <w:kern w:val="0"/>
                <w:szCs w:val="21"/>
              </w:rPr>
              <w:t>00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bCs/>
                <w:color w:val="000000"/>
                <w:kern w:val="0"/>
                <w:szCs w:val="21"/>
              </w:rPr>
            </w:pPr>
            <w:r>
              <w:rPr>
                <w:rFonts w:hint="eastAsia" w:ascii="Times New Roman" w:hAnsi="Times New Roman" w:eastAsia="仿宋" w:cs="宋体"/>
                <w:bCs/>
                <w:color w:val="000000"/>
                <w:kern w:val="0"/>
                <w:szCs w:val="21"/>
              </w:rPr>
              <w:t>市委政法委</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政法基础设施（</w:t>
            </w:r>
            <w:r>
              <w:rPr>
                <w:rFonts w:ascii="Times New Roman" w:hAnsi="Times New Roman" w:eastAsia="仿宋" w:cs="宋体"/>
                <w:color w:val="000000"/>
                <w:kern w:val="0"/>
                <w:szCs w:val="21"/>
              </w:rPr>
              <w:t>2022年未列入中央预算内投资的支持方向）</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市法院</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政法基础设施（</w:t>
            </w:r>
            <w:r>
              <w:rPr>
                <w:rFonts w:ascii="Times New Roman" w:hAnsi="Times New Roman" w:eastAsia="仿宋" w:cs="宋体"/>
                <w:color w:val="000000"/>
                <w:kern w:val="0"/>
                <w:szCs w:val="21"/>
              </w:rPr>
              <w:t>2022年未列入中央预算内投资的支持方向）</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市检察院</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政法基础设施（</w:t>
            </w:r>
            <w:r>
              <w:rPr>
                <w:rFonts w:ascii="Times New Roman" w:hAnsi="Times New Roman" w:eastAsia="仿宋" w:cs="宋体"/>
                <w:color w:val="000000"/>
                <w:kern w:val="0"/>
                <w:szCs w:val="21"/>
              </w:rPr>
              <w:t>2022年未列入中央预算内投资的支持方向）</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市司法局</w:t>
            </w:r>
          </w:p>
        </w:tc>
        <w:tc>
          <w:tcPr>
            <w:tcW w:w="6379" w:type="dxa"/>
            <w:tcBorders>
              <w:top w:val="nil"/>
              <w:left w:val="nil"/>
              <w:bottom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政法基础设施（</w:t>
            </w:r>
            <w:r>
              <w:rPr>
                <w:rFonts w:ascii="Times New Roman" w:hAnsi="Times New Roman" w:eastAsia="仿宋" w:cs="宋体"/>
                <w:color w:val="000000"/>
                <w:kern w:val="0"/>
                <w:szCs w:val="21"/>
              </w:rPr>
              <w:t>2022年未列入中央预算内投资的支持方向）</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0</w:t>
            </w:r>
          </w:p>
        </w:tc>
      </w:tr>
      <w:tr>
        <w:tblPrEx>
          <w:tblCellMar>
            <w:top w:w="0" w:type="dxa"/>
            <w:left w:w="108" w:type="dxa"/>
            <w:bottom w:w="0" w:type="dxa"/>
            <w:right w:w="108" w:type="dxa"/>
          </w:tblCellMar>
        </w:tblPrEx>
        <w:trPr>
          <w:trHeight w:val="280" w:hRule="atLeast"/>
          <w:jc w:val="center"/>
        </w:trPr>
        <w:tc>
          <w:tcPr>
            <w:tcW w:w="1985" w:type="dxa"/>
            <w:tcBorders>
              <w:top w:val="nil"/>
              <w:left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市公安局</w:t>
            </w:r>
          </w:p>
        </w:tc>
        <w:tc>
          <w:tcPr>
            <w:tcW w:w="6379" w:type="dxa"/>
            <w:tcBorders>
              <w:top w:val="nil"/>
              <w:left w:val="nil"/>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政法基础设施（</w:t>
            </w:r>
            <w:r>
              <w:rPr>
                <w:rFonts w:ascii="Times New Roman" w:hAnsi="Times New Roman" w:eastAsia="仿宋" w:cs="宋体"/>
                <w:color w:val="000000"/>
                <w:kern w:val="0"/>
                <w:szCs w:val="21"/>
              </w:rPr>
              <w:t>2022年未列入中央预算内投资的支持方向）</w:t>
            </w:r>
          </w:p>
        </w:tc>
        <w:tc>
          <w:tcPr>
            <w:tcW w:w="1134" w:type="dxa"/>
            <w:tcBorders>
              <w:top w:val="nil"/>
              <w:left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0</w:t>
            </w:r>
          </w:p>
        </w:tc>
      </w:tr>
      <w:tr>
        <w:tblPrEx>
          <w:tblCellMar>
            <w:top w:w="0" w:type="dxa"/>
            <w:left w:w="108" w:type="dxa"/>
            <w:bottom w:w="0" w:type="dxa"/>
            <w:right w:w="108" w:type="dxa"/>
          </w:tblCellMar>
        </w:tblPrEx>
        <w:trPr>
          <w:trHeight w:val="280" w:hRule="atLeast"/>
          <w:jc w:val="center"/>
        </w:trPr>
        <w:tc>
          <w:tcPr>
            <w:tcW w:w="1985" w:type="dxa"/>
            <w:tcBorders>
              <w:top w:val="nil"/>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bCs/>
                <w:color w:val="000000"/>
                <w:kern w:val="0"/>
                <w:szCs w:val="21"/>
              </w:rPr>
              <w:t>市委宣传部</w:t>
            </w:r>
          </w:p>
        </w:tc>
        <w:tc>
          <w:tcPr>
            <w:tcW w:w="6379" w:type="dxa"/>
            <w:tcBorders>
              <w:top w:val="nil"/>
              <w:left w:val="nil"/>
              <w:bottom w:val="single" w:color="auto" w:sz="4" w:space="0"/>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文化保护传承利用工程（2</w:t>
            </w:r>
            <w:r>
              <w:rPr>
                <w:rFonts w:ascii="Times New Roman" w:hAnsi="Times New Roman" w:eastAsia="仿宋" w:cs="宋体"/>
                <w:color w:val="000000"/>
                <w:kern w:val="0"/>
                <w:szCs w:val="21"/>
              </w:rPr>
              <w:t>022</w:t>
            </w:r>
            <w:r>
              <w:rPr>
                <w:rFonts w:hint="eastAsia" w:ascii="Times New Roman" w:hAnsi="Times New Roman" w:eastAsia="仿宋" w:cs="宋体"/>
                <w:color w:val="000000"/>
                <w:kern w:val="0"/>
                <w:szCs w:val="21"/>
              </w:rPr>
              <w:t>年不适合申报中央预算内投资）</w:t>
            </w:r>
          </w:p>
        </w:tc>
        <w:tc>
          <w:tcPr>
            <w:tcW w:w="1134" w:type="dxa"/>
            <w:tcBorders>
              <w:top w:val="nil"/>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cs="宋体"/>
                <w:color w:val="000000"/>
                <w:kern w:val="0"/>
                <w:szCs w:val="21"/>
              </w:rPr>
              <w:t>0</w:t>
            </w:r>
          </w:p>
        </w:tc>
      </w:tr>
    </w:tbl>
    <w:p>
      <w:pPr>
        <w:spacing w:line="280" w:lineRule="exact"/>
        <w:ind w:firstLine="315" w:firstLineChars="150"/>
        <w:rPr>
          <w:rFonts w:ascii="Times New Roman" w:hAnsi="Times New Roman" w:eastAsia="仿宋"/>
          <w:szCs w:val="21"/>
        </w:rPr>
      </w:pPr>
      <w:r>
        <w:rPr>
          <w:rFonts w:hint="eastAsia" w:ascii="Times New Roman" w:hAnsi="Times New Roman" w:eastAsia="仿宋"/>
          <w:szCs w:val="21"/>
        </w:rPr>
        <w:t>注：涉及领域为市直责任单位所涉及的申报领域</w:t>
      </w:r>
    </w:p>
    <w:p>
      <w:pPr>
        <w:spacing w:line="560" w:lineRule="exact"/>
        <w:ind w:firstLine="315" w:firstLineChars="150"/>
        <w:rPr>
          <w:rFonts w:ascii="Times New Roman" w:hAnsi="Times New Roman" w:eastAsia="仿宋"/>
          <w:szCs w:val="21"/>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首先，将中央预算内投资的</w:t>
      </w:r>
      <w:r>
        <w:rPr>
          <w:rFonts w:ascii="仿宋" w:hAnsi="仿宋" w:eastAsia="仿宋" w:cs="仿宋"/>
          <w:sz w:val="32"/>
          <w:szCs w:val="32"/>
        </w:rPr>
        <w:t>4</w:t>
      </w:r>
      <w:r>
        <w:rPr>
          <w:rFonts w:hint="eastAsia" w:ascii="仿宋" w:hAnsi="仿宋" w:eastAsia="仿宋" w:cs="仿宋"/>
          <w:sz w:val="32"/>
          <w:szCs w:val="32"/>
        </w:rPr>
        <w:t>亿元分配给17个申报领域的20家市直责任单位去牵头组织，并由各县（市、区）申报，市住建局为</w:t>
      </w:r>
      <w:r>
        <w:rPr>
          <w:rFonts w:ascii="仿宋" w:hAnsi="仿宋" w:eastAsia="仿宋" w:cs="仿宋"/>
          <w:sz w:val="32"/>
          <w:szCs w:val="32"/>
        </w:rPr>
        <w:t>94</w:t>
      </w:r>
      <w:r>
        <w:rPr>
          <w:rFonts w:hint="eastAsia" w:ascii="仿宋" w:hAnsi="仿宋" w:eastAsia="仿宋" w:cs="仿宋"/>
          <w:sz w:val="32"/>
          <w:szCs w:val="32"/>
        </w:rPr>
        <w:t>00万元，市水务局为8000万元，市卫健局为</w:t>
      </w:r>
      <w:r>
        <w:rPr>
          <w:rFonts w:ascii="仿宋" w:hAnsi="仿宋" w:eastAsia="仿宋" w:cs="仿宋"/>
          <w:sz w:val="32"/>
          <w:szCs w:val="32"/>
        </w:rPr>
        <w:t>58</w:t>
      </w:r>
      <w:r>
        <w:rPr>
          <w:rFonts w:hint="eastAsia" w:ascii="仿宋" w:hAnsi="仿宋" w:eastAsia="仿宋" w:cs="仿宋"/>
          <w:sz w:val="32"/>
          <w:szCs w:val="32"/>
        </w:rPr>
        <w:t>00万元，市教育局为</w:t>
      </w:r>
      <w:r>
        <w:rPr>
          <w:rFonts w:ascii="仿宋" w:hAnsi="仿宋" w:eastAsia="仿宋" w:cs="仿宋"/>
          <w:sz w:val="32"/>
          <w:szCs w:val="32"/>
        </w:rPr>
        <w:t>50</w:t>
      </w:r>
      <w:r>
        <w:rPr>
          <w:rFonts w:hint="eastAsia" w:ascii="仿宋" w:hAnsi="仿宋" w:eastAsia="仿宋" w:cs="仿宋"/>
          <w:sz w:val="32"/>
          <w:szCs w:val="32"/>
        </w:rPr>
        <w:t>00万元，市文广旅体局为</w:t>
      </w:r>
      <w:r>
        <w:rPr>
          <w:rFonts w:ascii="仿宋" w:hAnsi="仿宋" w:eastAsia="仿宋" w:cs="仿宋"/>
          <w:sz w:val="32"/>
          <w:szCs w:val="32"/>
        </w:rPr>
        <w:t>24</w:t>
      </w:r>
      <w:r>
        <w:rPr>
          <w:rFonts w:hint="eastAsia" w:ascii="仿宋" w:hAnsi="仿宋" w:eastAsia="仿宋" w:cs="仿宋"/>
          <w:sz w:val="32"/>
          <w:szCs w:val="32"/>
        </w:rPr>
        <w:t>00万元，市民政局为1</w:t>
      </w:r>
      <w:r>
        <w:rPr>
          <w:rFonts w:ascii="仿宋" w:hAnsi="仿宋" w:eastAsia="仿宋" w:cs="仿宋"/>
          <w:sz w:val="32"/>
          <w:szCs w:val="32"/>
        </w:rPr>
        <w:t>6</w:t>
      </w:r>
      <w:r>
        <w:rPr>
          <w:rFonts w:hint="eastAsia" w:ascii="仿宋" w:hAnsi="仿宋" w:eastAsia="仿宋" w:cs="仿宋"/>
          <w:sz w:val="32"/>
          <w:szCs w:val="32"/>
        </w:rPr>
        <w:t>00万元，市人社局为</w:t>
      </w:r>
      <w:r>
        <w:rPr>
          <w:rFonts w:ascii="仿宋" w:hAnsi="仿宋" w:eastAsia="仿宋" w:cs="仿宋"/>
          <w:sz w:val="32"/>
          <w:szCs w:val="32"/>
        </w:rPr>
        <w:t>16</w:t>
      </w:r>
      <w:r>
        <w:rPr>
          <w:rFonts w:hint="eastAsia" w:ascii="仿宋" w:hAnsi="仿宋" w:eastAsia="仿宋" w:cs="仿宋"/>
          <w:sz w:val="32"/>
          <w:szCs w:val="32"/>
        </w:rPr>
        <w:t>00万元，市发改局为1</w:t>
      </w:r>
      <w:r>
        <w:rPr>
          <w:rFonts w:ascii="仿宋" w:hAnsi="仿宋" w:eastAsia="仿宋" w:cs="仿宋"/>
          <w:sz w:val="32"/>
          <w:szCs w:val="32"/>
        </w:rPr>
        <w:t>4</w:t>
      </w:r>
      <w:r>
        <w:rPr>
          <w:rFonts w:hint="eastAsia" w:ascii="仿宋" w:hAnsi="仿宋" w:eastAsia="仿宋" w:cs="仿宋"/>
          <w:sz w:val="32"/>
          <w:szCs w:val="32"/>
        </w:rPr>
        <w:t>00万元，市工信局为</w:t>
      </w:r>
      <w:r>
        <w:rPr>
          <w:rFonts w:ascii="仿宋" w:hAnsi="仿宋" w:eastAsia="仿宋" w:cs="仿宋"/>
          <w:sz w:val="32"/>
          <w:szCs w:val="32"/>
        </w:rPr>
        <w:t>12</w:t>
      </w:r>
      <w:r>
        <w:rPr>
          <w:rFonts w:hint="eastAsia" w:ascii="仿宋" w:hAnsi="仿宋" w:eastAsia="仿宋" w:cs="仿宋"/>
          <w:sz w:val="32"/>
          <w:szCs w:val="32"/>
        </w:rPr>
        <w:t>00万元，市供销社为1</w:t>
      </w:r>
      <w:r>
        <w:rPr>
          <w:rFonts w:ascii="仿宋" w:hAnsi="仿宋" w:eastAsia="仿宋" w:cs="仿宋"/>
          <w:sz w:val="32"/>
          <w:szCs w:val="32"/>
        </w:rPr>
        <w:t>2</w:t>
      </w:r>
      <w:r>
        <w:rPr>
          <w:rFonts w:hint="eastAsia" w:ascii="仿宋" w:hAnsi="仿宋" w:eastAsia="仿宋" w:cs="仿宋"/>
          <w:sz w:val="32"/>
          <w:szCs w:val="32"/>
        </w:rPr>
        <w:t>00万元，市生态环境局为</w:t>
      </w:r>
      <w:r>
        <w:rPr>
          <w:rFonts w:ascii="仿宋" w:hAnsi="仿宋" w:eastAsia="仿宋" w:cs="仿宋"/>
          <w:sz w:val="32"/>
          <w:szCs w:val="32"/>
        </w:rPr>
        <w:t>10</w:t>
      </w:r>
      <w:r>
        <w:rPr>
          <w:rFonts w:hint="eastAsia" w:ascii="仿宋" w:hAnsi="仿宋" w:eastAsia="仿宋" w:cs="仿宋"/>
          <w:sz w:val="32"/>
          <w:szCs w:val="32"/>
        </w:rPr>
        <w:t>00万元，市农业农村局为1</w:t>
      </w:r>
      <w:r>
        <w:rPr>
          <w:rFonts w:ascii="仿宋" w:hAnsi="仿宋" w:eastAsia="仿宋" w:cs="仿宋"/>
          <w:sz w:val="32"/>
          <w:szCs w:val="32"/>
        </w:rPr>
        <w:t>0</w:t>
      </w:r>
      <w:r>
        <w:rPr>
          <w:rFonts w:hint="eastAsia" w:ascii="仿宋" w:hAnsi="仿宋" w:eastAsia="仿宋" w:cs="仿宋"/>
          <w:sz w:val="32"/>
          <w:szCs w:val="32"/>
        </w:rPr>
        <w:t>00万元，市退役军人事务局为</w:t>
      </w:r>
      <w:r>
        <w:rPr>
          <w:rFonts w:ascii="仿宋" w:hAnsi="仿宋" w:eastAsia="仿宋" w:cs="仿宋"/>
          <w:sz w:val="32"/>
          <w:szCs w:val="32"/>
        </w:rPr>
        <w:t>2</w:t>
      </w:r>
      <w:r>
        <w:rPr>
          <w:rFonts w:hint="eastAsia" w:ascii="仿宋" w:hAnsi="仿宋" w:eastAsia="仿宋" w:cs="仿宋"/>
          <w:sz w:val="32"/>
          <w:szCs w:val="32"/>
        </w:rPr>
        <w:t>00万元，市残联为</w:t>
      </w:r>
      <w:r>
        <w:rPr>
          <w:rFonts w:ascii="仿宋" w:hAnsi="仿宋" w:eastAsia="仿宋" w:cs="仿宋"/>
          <w:sz w:val="32"/>
          <w:szCs w:val="32"/>
        </w:rPr>
        <w:t>2</w:t>
      </w:r>
      <w:r>
        <w:rPr>
          <w:rFonts w:hint="eastAsia" w:ascii="仿宋" w:hAnsi="仿宋" w:eastAsia="仿宋" w:cs="仿宋"/>
          <w:sz w:val="32"/>
          <w:szCs w:val="32"/>
        </w:rPr>
        <w:t>00万元（表2）。其中，市住建局为9</w:t>
      </w:r>
      <w:r>
        <w:rPr>
          <w:rFonts w:ascii="仿宋" w:hAnsi="仿宋" w:eastAsia="仿宋" w:cs="仿宋"/>
          <w:sz w:val="32"/>
          <w:szCs w:val="32"/>
        </w:rPr>
        <w:t>4</w:t>
      </w:r>
      <w:r>
        <w:rPr>
          <w:rFonts w:hint="eastAsia" w:ascii="仿宋" w:hAnsi="仿宋" w:eastAsia="仿宋" w:cs="仿宋"/>
          <w:sz w:val="32"/>
          <w:szCs w:val="32"/>
        </w:rPr>
        <w:t>00万元，市水务局为</w:t>
      </w:r>
      <w:r>
        <w:rPr>
          <w:rFonts w:ascii="仿宋" w:hAnsi="仿宋" w:eastAsia="仿宋" w:cs="仿宋"/>
          <w:sz w:val="32"/>
          <w:szCs w:val="32"/>
        </w:rPr>
        <w:t>8</w:t>
      </w:r>
      <w:r>
        <w:rPr>
          <w:rFonts w:hint="eastAsia" w:ascii="仿宋" w:hAnsi="仿宋" w:eastAsia="仿宋" w:cs="仿宋"/>
          <w:sz w:val="32"/>
          <w:szCs w:val="32"/>
        </w:rPr>
        <w:t>000万元，原因在于：市住建局和市水务局储备项目第一梯队的申报资金较多，且项目进展情况较好，是我市申报中央预算内投资的主力军；此外，借鉴周边城市（梅州市）的有益经验，市住建局和市水务局负责的安居工程、排水设施、水利工程等项目相对容易获得中央预算内投资。市卫健局为5</w:t>
      </w:r>
      <w:r>
        <w:rPr>
          <w:rFonts w:ascii="仿宋" w:hAnsi="仿宋" w:eastAsia="仿宋" w:cs="仿宋"/>
          <w:sz w:val="32"/>
          <w:szCs w:val="32"/>
        </w:rPr>
        <w:t>8</w:t>
      </w:r>
      <w:r>
        <w:rPr>
          <w:rFonts w:hint="eastAsia" w:ascii="仿宋" w:hAnsi="仿宋" w:eastAsia="仿宋" w:cs="仿宋"/>
          <w:sz w:val="32"/>
          <w:szCs w:val="32"/>
        </w:rPr>
        <w:t>00万元，市教育局为5</w:t>
      </w:r>
      <w:r>
        <w:rPr>
          <w:rFonts w:ascii="仿宋" w:hAnsi="仿宋" w:eastAsia="仿宋" w:cs="仿宋"/>
          <w:sz w:val="32"/>
          <w:szCs w:val="32"/>
        </w:rPr>
        <w:t>0</w:t>
      </w:r>
      <w:r>
        <w:rPr>
          <w:rFonts w:hint="eastAsia" w:ascii="仿宋" w:hAnsi="仿宋" w:eastAsia="仿宋" w:cs="仿宋"/>
          <w:sz w:val="32"/>
          <w:szCs w:val="32"/>
        </w:rPr>
        <w:t>00万元，原因在于：市卫健局和市教育局储备项目第一梯队的进展情况也较好，也是我市申报中央预算内投资的重点方向。</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420"/>
        <w:jc w:val="center"/>
        <w:rPr>
          <w:rFonts w:ascii="Times New Roman" w:hAnsi="Times New Roman" w:eastAsia="仿宋"/>
          <w:szCs w:val="21"/>
        </w:rPr>
      </w:pPr>
      <w:r>
        <w:rPr>
          <w:rFonts w:hint="eastAsia" w:ascii="Times New Roman" w:hAnsi="Times New Roman" w:eastAsia="仿宋"/>
          <w:szCs w:val="21"/>
        </w:rPr>
        <w:t>表</w:t>
      </w:r>
      <w:r>
        <w:rPr>
          <w:rFonts w:ascii="Times New Roman" w:hAnsi="Times New Roman" w:eastAsia="仿宋"/>
          <w:szCs w:val="21"/>
        </w:rPr>
        <w:t>3 2022</w:t>
      </w:r>
      <w:r>
        <w:rPr>
          <w:rFonts w:hint="eastAsia" w:ascii="Times New Roman" w:hAnsi="Times New Roman" w:eastAsia="仿宋"/>
          <w:szCs w:val="21"/>
        </w:rPr>
        <w:t>年汕尾市各县（市、区）中央预算内投资的分配方案</w:t>
      </w:r>
    </w:p>
    <w:tbl>
      <w:tblPr>
        <w:tblStyle w:val="4"/>
        <w:tblW w:w="9312" w:type="dxa"/>
        <w:jc w:val="center"/>
        <w:tblLayout w:type="autofit"/>
        <w:tblCellMar>
          <w:top w:w="0" w:type="dxa"/>
          <w:left w:w="108" w:type="dxa"/>
          <w:bottom w:w="0" w:type="dxa"/>
          <w:right w:w="108" w:type="dxa"/>
        </w:tblCellMar>
      </w:tblPr>
      <w:tblGrid>
        <w:gridCol w:w="1843"/>
        <w:gridCol w:w="1559"/>
        <w:gridCol w:w="1276"/>
        <w:gridCol w:w="850"/>
        <w:gridCol w:w="1134"/>
        <w:gridCol w:w="794"/>
        <w:gridCol w:w="864"/>
        <w:gridCol w:w="992"/>
      </w:tblGrid>
      <w:tr>
        <w:tblPrEx>
          <w:tblCellMar>
            <w:top w:w="0" w:type="dxa"/>
            <w:left w:w="108" w:type="dxa"/>
            <w:bottom w:w="0" w:type="dxa"/>
            <w:right w:w="108" w:type="dxa"/>
          </w:tblCellMar>
        </w:tblPrEx>
        <w:trPr>
          <w:trHeight w:val="252" w:hRule="atLeast"/>
          <w:jc w:val="center"/>
        </w:trPr>
        <w:tc>
          <w:tcPr>
            <w:tcW w:w="1843" w:type="dxa"/>
            <w:tcBorders>
              <w:top w:val="single" w:color="auto" w:sz="4" w:space="0"/>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县(市、区)</w:t>
            </w:r>
          </w:p>
        </w:tc>
        <w:tc>
          <w:tcPr>
            <w:tcW w:w="1559" w:type="dxa"/>
            <w:tcBorders>
              <w:top w:val="single" w:color="auto" w:sz="4" w:space="0"/>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2018-2020年固定资产投资的均值(万元)</w:t>
            </w:r>
          </w:p>
        </w:tc>
        <w:tc>
          <w:tcPr>
            <w:tcW w:w="1276" w:type="dxa"/>
            <w:tcBorders>
              <w:top w:val="single" w:color="auto" w:sz="4" w:space="0"/>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固定资产投资的均值比重(%)</w:t>
            </w:r>
          </w:p>
        </w:tc>
        <w:tc>
          <w:tcPr>
            <w:tcW w:w="850" w:type="dxa"/>
            <w:tcBorders>
              <w:top w:val="single" w:color="auto" w:sz="4" w:space="0"/>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第一梯队项目数(个)</w:t>
            </w:r>
          </w:p>
        </w:tc>
        <w:tc>
          <w:tcPr>
            <w:tcW w:w="1134" w:type="dxa"/>
            <w:tcBorders>
              <w:top w:val="single" w:color="auto" w:sz="4" w:space="0"/>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第一梯队项目数占比(%)</w:t>
            </w:r>
          </w:p>
        </w:tc>
        <w:tc>
          <w:tcPr>
            <w:tcW w:w="794" w:type="dxa"/>
            <w:tcBorders>
              <w:top w:val="single" w:color="auto" w:sz="4" w:space="0"/>
              <w:left w:val="nil"/>
              <w:bottom w:val="single" w:color="auto" w:sz="4" w:space="0"/>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常住人口(万人</w:t>
            </w:r>
            <w:r>
              <w:rPr>
                <w:rFonts w:ascii="Times New Roman" w:hAnsi="Times New Roman" w:eastAsia="仿宋" w:cs="宋体"/>
                <w:color w:val="000000"/>
                <w:kern w:val="0"/>
                <w:szCs w:val="21"/>
              </w:rPr>
              <w:t>)</w:t>
            </w:r>
          </w:p>
        </w:tc>
        <w:tc>
          <w:tcPr>
            <w:tcW w:w="864" w:type="dxa"/>
            <w:tcBorders>
              <w:top w:val="single" w:color="auto" w:sz="4" w:space="0"/>
              <w:left w:val="nil"/>
              <w:bottom w:val="single" w:color="auto" w:sz="4" w:space="0"/>
              <w:right w:val="nil"/>
            </w:tcBorders>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常住人口占比(%)</w:t>
            </w:r>
          </w:p>
        </w:tc>
        <w:tc>
          <w:tcPr>
            <w:tcW w:w="992" w:type="dxa"/>
            <w:tcBorders>
              <w:top w:val="single" w:color="auto" w:sz="4" w:space="0"/>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分配资金(万元)</w:t>
            </w:r>
          </w:p>
        </w:tc>
      </w:tr>
      <w:tr>
        <w:tblPrEx>
          <w:tblCellMar>
            <w:top w:w="0" w:type="dxa"/>
            <w:left w:w="108" w:type="dxa"/>
            <w:bottom w:w="0" w:type="dxa"/>
            <w:right w:w="108" w:type="dxa"/>
          </w:tblCellMar>
        </w:tblPrEx>
        <w:trPr>
          <w:trHeight w:val="252" w:hRule="atLeast"/>
          <w:jc w:val="center"/>
        </w:trPr>
        <w:tc>
          <w:tcPr>
            <w:tcW w:w="1843"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城区(含汕尾新区)</w:t>
            </w:r>
          </w:p>
        </w:tc>
        <w:tc>
          <w:tcPr>
            <w:tcW w:w="1559"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 xml:space="preserve">857498.67 </w:t>
            </w:r>
          </w:p>
        </w:tc>
        <w:tc>
          <w:tcPr>
            <w:tcW w:w="1276"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olor w:val="000000"/>
                <w:szCs w:val="21"/>
              </w:rPr>
              <w:t>13.11%</w:t>
            </w:r>
          </w:p>
        </w:tc>
        <w:tc>
          <w:tcPr>
            <w:tcW w:w="850"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5</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szCs w:val="21"/>
              </w:rPr>
              <w:t>18.52%</w:t>
            </w:r>
          </w:p>
        </w:tc>
        <w:tc>
          <w:tcPr>
            <w:tcW w:w="794" w:type="dxa"/>
            <w:tcBorders>
              <w:top w:val="nil"/>
              <w:left w:val="nil"/>
              <w:bottom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 xml:space="preserve">42.55 </w:t>
            </w:r>
          </w:p>
        </w:tc>
        <w:tc>
          <w:tcPr>
            <w:tcW w:w="864" w:type="dxa"/>
            <w:tcBorders>
              <w:top w:val="nil"/>
              <w:left w:val="nil"/>
              <w:bottom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14.11%</w:t>
            </w:r>
          </w:p>
        </w:tc>
        <w:tc>
          <w:tcPr>
            <w:tcW w:w="992"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szCs w:val="21"/>
              </w:rPr>
            </w:pPr>
            <w:r>
              <w:rPr>
                <w:rFonts w:ascii="Times New Roman" w:hAnsi="Times New Roman" w:eastAsia="仿宋"/>
                <w:szCs w:val="21"/>
              </w:rPr>
              <w:t>58</w:t>
            </w:r>
            <w:r>
              <w:rPr>
                <w:rFonts w:hint="eastAsia" w:ascii="Times New Roman" w:hAnsi="Times New Roman" w:eastAsia="仿宋"/>
                <w:szCs w:val="21"/>
              </w:rPr>
              <w:t xml:space="preserve">00 </w:t>
            </w:r>
          </w:p>
        </w:tc>
      </w:tr>
      <w:tr>
        <w:tblPrEx>
          <w:tblCellMar>
            <w:top w:w="0" w:type="dxa"/>
            <w:left w:w="108" w:type="dxa"/>
            <w:bottom w:w="0" w:type="dxa"/>
            <w:right w:w="108" w:type="dxa"/>
          </w:tblCellMar>
        </w:tblPrEx>
        <w:trPr>
          <w:trHeight w:val="252" w:hRule="atLeast"/>
          <w:jc w:val="center"/>
        </w:trPr>
        <w:tc>
          <w:tcPr>
            <w:tcW w:w="1843"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海丰县</w:t>
            </w:r>
          </w:p>
        </w:tc>
        <w:tc>
          <w:tcPr>
            <w:tcW w:w="1559"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 xml:space="preserve">3013289.67 </w:t>
            </w:r>
          </w:p>
        </w:tc>
        <w:tc>
          <w:tcPr>
            <w:tcW w:w="1276"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olor w:val="000000"/>
                <w:szCs w:val="21"/>
              </w:rPr>
              <w:t>46.06%</w:t>
            </w:r>
          </w:p>
        </w:tc>
        <w:tc>
          <w:tcPr>
            <w:tcW w:w="850"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3</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szCs w:val="21"/>
              </w:rPr>
              <w:t>11.11%</w:t>
            </w:r>
          </w:p>
        </w:tc>
        <w:tc>
          <w:tcPr>
            <w:tcW w:w="794" w:type="dxa"/>
            <w:tcBorders>
              <w:top w:val="nil"/>
              <w:left w:val="nil"/>
              <w:bottom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 xml:space="preserve">76.31 </w:t>
            </w:r>
          </w:p>
        </w:tc>
        <w:tc>
          <w:tcPr>
            <w:tcW w:w="864" w:type="dxa"/>
            <w:tcBorders>
              <w:top w:val="nil"/>
              <w:left w:val="nil"/>
              <w:bottom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25.31%</w:t>
            </w:r>
          </w:p>
        </w:tc>
        <w:tc>
          <w:tcPr>
            <w:tcW w:w="992"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szCs w:val="21"/>
              </w:rPr>
            </w:pPr>
            <w:r>
              <w:rPr>
                <w:rFonts w:ascii="Times New Roman" w:hAnsi="Times New Roman" w:eastAsia="仿宋"/>
                <w:szCs w:val="21"/>
              </w:rPr>
              <w:t>13140</w:t>
            </w:r>
            <w:r>
              <w:rPr>
                <w:rFonts w:hint="eastAsia" w:ascii="Times New Roman" w:hAnsi="Times New Roman" w:eastAsia="仿宋"/>
                <w:szCs w:val="21"/>
              </w:rPr>
              <w:t xml:space="preserve"> </w:t>
            </w:r>
          </w:p>
        </w:tc>
      </w:tr>
      <w:tr>
        <w:tblPrEx>
          <w:tblCellMar>
            <w:top w:w="0" w:type="dxa"/>
            <w:left w:w="108" w:type="dxa"/>
            <w:bottom w:w="0" w:type="dxa"/>
            <w:right w:w="108" w:type="dxa"/>
          </w:tblCellMar>
        </w:tblPrEx>
        <w:trPr>
          <w:trHeight w:val="252" w:hRule="atLeast"/>
          <w:jc w:val="center"/>
        </w:trPr>
        <w:tc>
          <w:tcPr>
            <w:tcW w:w="1843"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陆丰市</w:t>
            </w:r>
          </w:p>
        </w:tc>
        <w:tc>
          <w:tcPr>
            <w:tcW w:w="1559"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 xml:space="preserve">2171188.33 </w:t>
            </w:r>
          </w:p>
        </w:tc>
        <w:tc>
          <w:tcPr>
            <w:tcW w:w="1276"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olor w:val="000000"/>
                <w:szCs w:val="21"/>
              </w:rPr>
              <w:t>33.19%</w:t>
            </w:r>
          </w:p>
        </w:tc>
        <w:tc>
          <w:tcPr>
            <w:tcW w:w="850"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4</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szCs w:val="21"/>
              </w:rPr>
              <w:t>14.81%</w:t>
            </w:r>
          </w:p>
        </w:tc>
        <w:tc>
          <w:tcPr>
            <w:tcW w:w="794" w:type="dxa"/>
            <w:tcBorders>
              <w:top w:val="nil"/>
              <w:left w:val="nil"/>
              <w:bottom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 xml:space="preserve">142.19 </w:t>
            </w:r>
          </w:p>
        </w:tc>
        <w:tc>
          <w:tcPr>
            <w:tcW w:w="864" w:type="dxa"/>
            <w:tcBorders>
              <w:top w:val="nil"/>
              <w:left w:val="nil"/>
              <w:bottom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47.16%</w:t>
            </w:r>
          </w:p>
        </w:tc>
        <w:tc>
          <w:tcPr>
            <w:tcW w:w="992"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szCs w:val="21"/>
              </w:rPr>
            </w:pPr>
            <w:r>
              <w:rPr>
                <w:rFonts w:ascii="Times New Roman" w:hAnsi="Times New Roman" w:eastAsia="仿宋"/>
                <w:szCs w:val="21"/>
              </w:rPr>
              <w:t>13480</w:t>
            </w:r>
            <w:r>
              <w:rPr>
                <w:rFonts w:hint="eastAsia" w:ascii="Times New Roman" w:hAnsi="Times New Roman" w:eastAsia="仿宋"/>
                <w:szCs w:val="21"/>
              </w:rPr>
              <w:t xml:space="preserve"> </w:t>
            </w:r>
          </w:p>
        </w:tc>
      </w:tr>
      <w:tr>
        <w:tblPrEx>
          <w:tblCellMar>
            <w:top w:w="0" w:type="dxa"/>
            <w:left w:w="108" w:type="dxa"/>
            <w:bottom w:w="0" w:type="dxa"/>
            <w:right w:w="108" w:type="dxa"/>
          </w:tblCellMar>
        </w:tblPrEx>
        <w:trPr>
          <w:trHeight w:val="252" w:hRule="atLeast"/>
          <w:jc w:val="center"/>
        </w:trPr>
        <w:tc>
          <w:tcPr>
            <w:tcW w:w="1843"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陆河县</w:t>
            </w:r>
          </w:p>
        </w:tc>
        <w:tc>
          <w:tcPr>
            <w:tcW w:w="1559"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 xml:space="preserve">438850.00 </w:t>
            </w:r>
          </w:p>
        </w:tc>
        <w:tc>
          <w:tcPr>
            <w:tcW w:w="1276"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olor w:val="000000"/>
                <w:szCs w:val="21"/>
              </w:rPr>
              <w:t>6.71%</w:t>
            </w:r>
          </w:p>
        </w:tc>
        <w:tc>
          <w:tcPr>
            <w:tcW w:w="850"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11</w:t>
            </w:r>
          </w:p>
        </w:tc>
        <w:tc>
          <w:tcPr>
            <w:tcW w:w="1134"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szCs w:val="21"/>
              </w:rPr>
              <w:t>40.74%</w:t>
            </w:r>
          </w:p>
        </w:tc>
        <w:tc>
          <w:tcPr>
            <w:tcW w:w="794" w:type="dxa"/>
            <w:tcBorders>
              <w:top w:val="nil"/>
              <w:left w:val="nil"/>
              <w:bottom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 xml:space="preserve">29.49 </w:t>
            </w:r>
          </w:p>
        </w:tc>
        <w:tc>
          <w:tcPr>
            <w:tcW w:w="864" w:type="dxa"/>
            <w:tcBorders>
              <w:top w:val="nil"/>
              <w:left w:val="nil"/>
              <w:bottom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9.78%</w:t>
            </w:r>
          </w:p>
        </w:tc>
        <w:tc>
          <w:tcPr>
            <w:tcW w:w="992" w:type="dxa"/>
            <w:tcBorders>
              <w:top w:val="nil"/>
              <w:left w:val="nil"/>
              <w:bottom w:val="nil"/>
              <w:right w:val="nil"/>
            </w:tcBorders>
            <w:shd w:val="clear" w:color="auto" w:fill="auto"/>
            <w:noWrap/>
            <w:vAlign w:val="center"/>
          </w:tcPr>
          <w:p>
            <w:pPr>
              <w:widowControl/>
              <w:spacing w:line="560" w:lineRule="exact"/>
              <w:jc w:val="center"/>
              <w:rPr>
                <w:rFonts w:ascii="Times New Roman" w:hAnsi="Times New Roman" w:eastAsia="仿宋"/>
                <w:szCs w:val="21"/>
              </w:rPr>
            </w:pPr>
            <w:r>
              <w:rPr>
                <w:rFonts w:ascii="Times New Roman" w:hAnsi="Times New Roman" w:eastAsia="仿宋"/>
                <w:szCs w:val="21"/>
              </w:rPr>
              <w:t>5760</w:t>
            </w:r>
            <w:r>
              <w:rPr>
                <w:rFonts w:hint="eastAsia" w:ascii="Times New Roman" w:hAnsi="Times New Roman" w:eastAsia="仿宋"/>
                <w:szCs w:val="21"/>
              </w:rPr>
              <w:t xml:space="preserve"> </w:t>
            </w:r>
          </w:p>
        </w:tc>
      </w:tr>
      <w:tr>
        <w:tblPrEx>
          <w:tblCellMar>
            <w:top w:w="0" w:type="dxa"/>
            <w:left w:w="108" w:type="dxa"/>
            <w:bottom w:w="0" w:type="dxa"/>
            <w:right w:w="108" w:type="dxa"/>
          </w:tblCellMar>
        </w:tblPrEx>
        <w:trPr>
          <w:trHeight w:val="252" w:hRule="atLeast"/>
          <w:jc w:val="center"/>
        </w:trPr>
        <w:tc>
          <w:tcPr>
            <w:tcW w:w="1843" w:type="dxa"/>
            <w:tcBorders>
              <w:top w:val="nil"/>
              <w:left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红海湾开发区</w:t>
            </w:r>
          </w:p>
        </w:tc>
        <w:tc>
          <w:tcPr>
            <w:tcW w:w="1559" w:type="dxa"/>
            <w:tcBorders>
              <w:top w:val="nil"/>
              <w:left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 xml:space="preserve">51643.00 </w:t>
            </w:r>
          </w:p>
        </w:tc>
        <w:tc>
          <w:tcPr>
            <w:tcW w:w="1276" w:type="dxa"/>
            <w:tcBorders>
              <w:top w:val="nil"/>
              <w:left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olor w:val="000000"/>
                <w:szCs w:val="21"/>
              </w:rPr>
              <w:t>0.79%</w:t>
            </w:r>
          </w:p>
        </w:tc>
        <w:tc>
          <w:tcPr>
            <w:tcW w:w="850" w:type="dxa"/>
            <w:tcBorders>
              <w:top w:val="nil"/>
              <w:left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4</w:t>
            </w:r>
          </w:p>
        </w:tc>
        <w:tc>
          <w:tcPr>
            <w:tcW w:w="1134" w:type="dxa"/>
            <w:tcBorders>
              <w:top w:val="nil"/>
              <w:left w:val="nil"/>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szCs w:val="21"/>
              </w:rPr>
              <w:t>14.81%</w:t>
            </w:r>
          </w:p>
        </w:tc>
        <w:tc>
          <w:tcPr>
            <w:tcW w:w="794" w:type="dxa"/>
            <w:tcBorders>
              <w:top w:val="nil"/>
              <w:left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 xml:space="preserve">9.02 </w:t>
            </w:r>
          </w:p>
        </w:tc>
        <w:tc>
          <w:tcPr>
            <w:tcW w:w="864" w:type="dxa"/>
            <w:tcBorders>
              <w:top w:val="nil"/>
              <w:left w:val="nil"/>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2.99%</w:t>
            </w:r>
          </w:p>
        </w:tc>
        <w:tc>
          <w:tcPr>
            <w:tcW w:w="992" w:type="dxa"/>
            <w:tcBorders>
              <w:top w:val="nil"/>
              <w:left w:val="nil"/>
              <w:right w:val="nil"/>
            </w:tcBorders>
            <w:shd w:val="clear" w:color="auto" w:fill="auto"/>
            <w:noWrap/>
            <w:vAlign w:val="center"/>
          </w:tcPr>
          <w:p>
            <w:pPr>
              <w:widowControl/>
              <w:spacing w:line="560" w:lineRule="exact"/>
              <w:jc w:val="center"/>
              <w:rPr>
                <w:rFonts w:ascii="Times New Roman" w:hAnsi="Times New Roman" w:eastAsia="仿宋"/>
                <w:szCs w:val="21"/>
              </w:rPr>
            </w:pPr>
            <w:r>
              <w:rPr>
                <w:rFonts w:ascii="Times New Roman" w:hAnsi="Times New Roman" w:eastAsia="仿宋"/>
                <w:szCs w:val="21"/>
              </w:rPr>
              <w:t>1700</w:t>
            </w:r>
            <w:r>
              <w:rPr>
                <w:rFonts w:hint="eastAsia" w:ascii="Times New Roman" w:hAnsi="Times New Roman" w:eastAsia="仿宋"/>
                <w:szCs w:val="21"/>
              </w:rPr>
              <w:t xml:space="preserve"> </w:t>
            </w:r>
          </w:p>
        </w:tc>
      </w:tr>
      <w:tr>
        <w:tblPrEx>
          <w:tblCellMar>
            <w:top w:w="0" w:type="dxa"/>
            <w:left w:w="108" w:type="dxa"/>
            <w:bottom w:w="0" w:type="dxa"/>
            <w:right w:w="108" w:type="dxa"/>
          </w:tblCellMar>
        </w:tblPrEx>
        <w:trPr>
          <w:trHeight w:val="252" w:hRule="atLeast"/>
          <w:jc w:val="center"/>
        </w:trPr>
        <w:tc>
          <w:tcPr>
            <w:tcW w:w="1843" w:type="dxa"/>
            <w:tcBorders>
              <w:top w:val="nil"/>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华侨管理区</w:t>
            </w:r>
          </w:p>
        </w:tc>
        <w:tc>
          <w:tcPr>
            <w:tcW w:w="1559" w:type="dxa"/>
            <w:tcBorders>
              <w:top w:val="nil"/>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 xml:space="preserve">9789.33 </w:t>
            </w:r>
          </w:p>
        </w:tc>
        <w:tc>
          <w:tcPr>
            <w:tcW w:w="1276" w:type="dxa"/>
            <w:tcBorders>
              <w:top w:val="nil"/>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olor w:val="000000"/>
                <w:szCs w:val="21"/>
              </w:rPr>
              <w:t>0.15%</w:t>
            </w:r>
          </w:p>
        </w:tc>
        <w:tc>
          <w:tcPr>
            <w:tcW w:w="850" w:type="dxa"/>
            <w:tcBorders>
              <w:top w:val="nil"/>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hint="eastAsia" w:ascii="Times New Roman" w:hAnsi="Times New Roman" w:eastAsia="仿宋" w:cs="宋体"/>
                <w:color w:val="000000"/>
                <w:kern w:val="0"/>
                <w:szCs w:val="21"/>
              </w:rPr>
              <w:t>0</w:t>
            </w:r>
          </w:p>
        </w:tc>
        <w:tc>
          <w:tcPr>
            <w:tcW w:w="1134" w:type="dxa"/>
            <w:tcBorders>
              <w:top w:val="nil"/>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cs="宋体"/>
                <w:color w:val="000000"/>
                <w:kern w:val="0"/>
                <w:szCs w:val="21"/>
              </w:rPr>
            </w:pPr>
            <w:r>
              <w:rPr>
                <w:rFonts w:ascii="Times New Roman" w:hAnsi="Times New Roman" w:eastAsia="仿宋"/>
                <w:szCs w:val="21"/>
              </w:rPr>
              <w:t>0.00%</w:t>
            </w:r>
          </w:p>
        </w:tc>
        <w:tc>
          <w:tcPr>
            <w:tcW w:w="794" w:type="dxa"/>
            <w:tcBorders>
              <w:top w:val="nil"/>
              <w:left w:val="nil"/>
              <w:bottom w:val="single" w:color="auto" w:sz="4" w:space="0"/>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 xml:space="preserve">1.94 </w:t>
            </w:r>
          </w:p>
        </w:tc>
        <w:tc>
          <w:tcPr>
            <w:tcW w:w="864" w:type="dxa"/>
            <w:tcBorders>
              <w:top w:val="nil"/>
              <w:left w:val="nil"/>
              <w:bottom w:val="single" w:color="auto" w:sz="4" w:space="0"/>
              <w:right w:val="nil"/>
            </w:tcBorders>
            <w:shd w:val="clear" w:color="auto" w:fill="auto"/>
            <w:vAlign w:val="center"/>
          </w:tcPr>
          <w:p>
            <w:pPr>
              <w:widowControl/>
              <w:spacing w:line="560" w:lineRule="exact"/>
              <w:jc w:val="center"/>
              <w:rPr>
                <w:rFonts w:ascii="Times New Roman" w:hAnsi="Times New Roman" w:eastAsia="仿宋"/>
                <w:color w:val="000000"/>
                <w:szCs w:val="21"/>
              </w:rPr>
            </w:pPr>
            <w:r>
              <w:rPr>
                <w:rFonts w:hint="eastAsia" w:ascii="Times New Roman" w:hAnsi="Times New Roman" w:eastAsia="仿宋"/>
                <w:color w:val="000000"/>
                <w:szCs w:val="21"/>
              </w:rPr>
              <w:t>0.64%</w:t>
            </w:r>
          </w:p>
        </w:tc>
        <w:tc>
          <w:tcPr>
            <w:tcW w:w="992" w:type="dxa"/>
            <w:tcBorders>
              <w:top w:val="nil"/>
              <w:left w:val="nil"/>
              <w:bottom w:val="single" w:color="auto" w:sz="4" w:space="0"/>
              <w:right w:val="nil"/>
            </w:tcBorders>
            <w:shd w:val="clear" w:color="auto" w:fill="auto"/>
            <w:noWrap/>
            <w:vAlign w:val="center"/>
          </w:tcPr>
          <w:p>
            <w:pPr>
              <w:widowControl/>
              <w:spacing w:line="560" w:lineRule="exact"/>
              <w:jc w:val="center"/>
              <w:rPr>
                <w:rFonts w:ascii="Times New Roman" w:hAnsi="Times New Roman" w:eastAsia="仿宋"/>
                <w:szCs w:val="21"/>
              </w:rPr>
            </w:pPr>
            <w:r>
              <w:rPr>
                <w:rFonts w:ascii="Times New Roman" w:hAnsi="Times New Roman" w:eastAsia="仿宋"/>
                <w:szCs w:val="21"/>
              </w:rPr>
              <w:t>120</w:t>
            </w:r>
            <w:r>
              <w:rPr>
                <w:rFonts w:hint="eastAsia" w:ascii="Times New Roman" w:hAnsi="Times New Roman" w:eastAsia="仿宋"/>
                <w:szCs w:val="21"/>
              </w:rPr>
              <w:t xml:space="preserve"> </w:t>
            </w:r>
          </w:p>
        </w:tc>
      </w:tr>
    </w:tbl>
    <w:p>
      <w:pPr>
        <w:spacing w:line="560" w:lineRule="exact"/>
        <w:ind w:firstLine="480" w:firstLineChars="200"/>
        <w:rPr>
          <w:rFonts w:ascii="Times New Roman" w:hAnsi="Times New Roman" w:eastAsia="仿宋"/>
          <w:sz w:val="24"/>
          <w:szCs w:val="24"/>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其次，将中央预算内投资的</w:t>
      </w:r>
      <w:r>
        <w:rPr>
          <w:rFonts w:ascii="仿宋" w:hAnsi="仿宋" w:eastAsia="仿宋" w:cs="仿宋"/>
          <w:sz w:val="32"/>
          <w:szCs w:val="32"/>
        </w:rPr>
        <w:t>4</w:t>
      </w:r>
      <w:r>
        <w:rPr>
          <w:rFonts w:hint="eastAsia" w:ascii="仿宋" w:hAnsi="仿宋" w:eastAsia="仿宋" w:cs="仿宋"/>
          <w:sz w:val="32"/>
          <w:szCs w:val="32"/>
        </w:rPr>
        <w:t>亿元分配给各县（市、区），城区（含汕尾新区）为5</w:t>
      </w:r>
      <w:r>
        <w:rPr>
          <w:rFonts w:ascii="仿宋" w:hAnsi="仿宋" w:eastAsia="仿宋" w:cs="仿宋"/>
          <w:sz w:val="32"/>
          <w:szCs w:val="32"/>
        </w:rPr>
        <w:t>8</w:t>
      </w:r>
      <w:r>
        <w:rPr>
          <w:rFonts w:hint="eastAsia" w:ascii="仿宋" w:hAnsi="仿宋" w:eastAsia="仿宋" w:cs="仿宋"/>
          <w:sz w:val="32"/>
          <w:szCs w:val="32"/>
        </w:rPr>
        <w:t>00万元，海丰县为</w:t>
      </w:r>
      <w:r>
        <w:rPr>
          <w:rFonts w:ascii="仿宋" w:hAnsi="仿宋" w:eastAsia="仿宋" w:cs="仿宋"/>
          <w:sz w:val="32"/>
          <w:szCs w:val="32"/>
        </w:rPr>
        <w:t>13140</w:t>
      </w:r>
      <w:r>
        <w:rPr>
          <w:rFonts w:hint="eastAsia" w:ascii="仿宋" w:hAnsi="仿宋" w:eastAsia="仿宋" w:cs="仿宋"/>
          <w:sz w:val="32"/>
          <w:szCs w:val="32"/>
        </w:rPr>
        <w:t>万元，陆丰市为</w:t>
      </w:r>
      <w:r>
        <w:rPr>
          <w:rFonts w:ascii="仿宋" w:hAnsi="仿宋" w:eastAsia="仿宋" w:cs="仿宋"/>
          <w:sz w:val="32"/>
          <w:szCs w:val="32"/>
        </w:rPr>
        <w:t>13480</w:t>
      </w:r>
      <w:r>
        <w:rPr>
          <w:rFonts w:hint="eastAsia" w:ascii="仿宋" w:hAnsi="仿宋" w:eastAsia="仿宋" w:cs="仿宋"/>
          <w:sz w:val="32"/>
          <w:szCs w:val="32"/>
        </w:rPr>
        <w:t>万元，陆河县为</w:t>
      </w:r>
      <w:r>
        <w:rPr>
          <w:rFonts w:ascii="仿宋" w:hAnsi="仿宋" w:eastAsia="仿宋" w:cs="仿宋"/>
          <w:sz w:val="32"/>
          <w:szCs w:val="32"/>
        </w:rPr>
        <w:t>5760</w:t>
      </w:r>
      <w:r>
        <w:rPr>
          <w:rFonts w:hint="eastAsia" w:ascii="仿宋" w:hAnsi="仿宋" w:eastAsia="仿宋" w:cs="仿宋"/>
          <w:sz w:val="32"/>
          <w:szCs w:val="32"/>
        </w:rPr>
        <w:t>万元，红海湾开发区为1</w:t>
      </w:r>
      <w:r>
        <w:rPr>
          <w:rFonts w:ascii="仿宋" w:hAnsi="仿宋" w:eastAsia="仿宋" w:cs="仿宋"/>
          <w:sz w:val="32"/>
          <w:szCs w:val="32"/>
        </w:rPr>
        <w:t>700</w:t>
      </w:r>
      <w:r>
        <w:rPr>
          <w:rFonts w:hint="eastAsia" w:ascii="仿宋" w:hAnsi="仿宋" w:eastAsia="仿宋" w:cs="仿宋"/>
          <w:sz w:val="32"/>
          <w:szCs w:val="32"/>
        </w:rPr>
        <w:t>万元，华侨管理区为</w:t>
      </w:r>
      <w:r>
        <w:rPr>
          <w:rFonts w:ascii="仿宋" w:hAnsi="仿宋" w:eastAsia="仿宋" w:cs="仿宋"/>
          <w:sz w:val="32"/>
          <w:szCs w:val="32"/>
        </w:rPr>
        <w:t>120</w:t>
      </w:r>
      <w:r>
        <w:rPr>
          <w:rFonts w:hint="eastAsia" w:ascii="仿宋" w:hAnsi="仿宋" w:eastAsia="仿宋" w:cs="仿宋"/>
          <w:sz w:val="32"/>
          <w:szCs w:val="32"/>
        </w:rPr>
        <w:t>万元（表3）。选取各县（市、区）固定资产投资的均值比重、中央预算内投资储备项目的第一梯队项目数占比和常住人口占比作为衡量指标，并对这三个指标进行权重赋值，权重赋值分别为0.5、0.2、0.3，最后计算出2022年各县（市、区）中央预算内投资的分配方案，合计为</w:t>
      </w:r>
      <w:r>
        <w:rPr>
          <w:rFonts w:ascii="仿宋" w:hAnsi="仿宋" w:eastAsia="仿宋" w:cs="仿宋"/>
          <w:sz w:val="32"/>
          <w:szCs w:val="32"/>
        </w:rPr>
        <w:t>4</w:t>
      </w:r>
      <w:r>
        <w:rPr>
          <w:rFonts w:hint="eastAsia" w:ascii="仿宋" w:hAnsi="仿宋" w:eastAsia="仿宋" w:cs="仿宋"/>
          <w:sz w:val="32"/>
          <w:szCs w:val="32"/>
        </w:rPr>
        <w:t>亿元。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归纳起来，从横向角度来看，中央预算内投资的</w:t>
      </w:r>
      <w:r>
        <w:rPr>
          <w:rFonts w:ascii="仿宋" w:hAnsi="仿宋" w:eastAsia="仿宋" w:cs="仿宋"/>
          <w:sz w:val="32"/>
          <w:szCs w:val="32"/>
        </w:rPr>
        <w:t>4</w:t>
      </w:r>
      <w:r>
        <w:rPr>
          <w:rFonts w:hint="eastAsia" w:ascii="仿宋" w:hAnsi="仿宋" w:eastAsia="仿宋" w:cs="仿宋"/>
          <w:sz w:val="32"/>
          <w:szCs w:val="32"/>
        </w:rPr>
        <w:t>亿元计划可以按照17个申报领域进行分配，分配任务主要集中在水利工程投资、教育强国推进工程、医疗卫生体系、保障性安居工程和排水设施建设5个领域。从纵向角度来看，考虑到市直责任单位和县（市、区）的项目申报、任务分配等方面可能存在着交叉重叠，也可以分别给市直责任单位和县（市、区）分配</w:t>
      </w:r>
      <w:r>
        <w:rPr>
          <w:rFonts w:ascii="仿宋" w:hAnsi="仿宋" w:eastAsia="仿宋" w:cs="仿宋"/>
          <w:sz w:val="32"/>
          <w:szCs w:val="32"/>
        </w:rPr>
        <w:t>4</w:t>
      </w:r>
      <w:r>
        <w:rPr>
          <w:rFonts w:hint="eastAsia" w:ascii="仿宋" w:hAnsi="仿宋" w:eastAsia="仿宋" w:cs="仿宋"/>
          <w:sz w:val="32"/>
          <w:szCs w:val="32"/>
        </w:rPr>
        <w:t>亿元，市直责任单位的分配任务主要集中在市住建局、市水务局、市卫健局和市教育局4家单位，县（市、区）的分配任务主要集中在陆丰市、海丰县和城区（含汕尾新区）3个县（市、区）。此外，市直责任单位和各县（市、区）要充分发挥自身申请项目与资金的“比较优势”，将这些“比较优势”转化为“竞争优势”，从而为汕尾市争取更多的中央预算内投资，并为汕尾市高质量发展提供有力支撑</w:t>
      </w:r>
      <w:bookmarkEnd w:id="0"/>
      <w:r>
        <w:rPr>
          <w:rFonts w:hint="eastAsia" w:ascii="仿宋" w:hAnsi="仿宋" w:eastAsia="仿宋" w:cs="仿宋"/>
          <w:sz w:val="32"/>
          <w:szCs w:val="32"/>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96386421"/>
    </w:sdtPr>
    <w:sdtEndPr>
      <w:rPr>
        <w:rFonts w:ascii="Times New Roman" w:hAnsi="Times New Roman" w:cs="Times New Roman"/>
      </w:rPr>
    </w:sdtEndPr>
    <w:sdtContent>
      <w:p>
        <w:pPr>
          <w:pStyle w:val="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4899"/>
    <w:rsid w:val="00005C85"/>
    <w:rsid w:val="00011388"/>
    <w:rsid w:val="00024F18"/>
    <w:rsid w:val="00036CDE"/>
    <w:rsid w:val="0004778F"/>
    <w:rsid w:val="000562EC"/>
    <w:rsid w:val="000B4AB3"/>
    <w:rsid w:val="001012D5"/>
    <w:rsid w:val="00144BCF"/>
    <w:rsid w:val="0015001A"/>
    <w:rsid w:val="0015170A"/>
    <w:rsid w:val="00156485"/>
    <w:rsid w:val="0017228A"/>
    <w:rsid w:val="001828A9"/>
    <w:rsid w:val="0019214B"/>
    <w:rsid w:val="001964EF"/>
    <w:rsid w:val="001B55C7"/>
    <w:rsid w:val="001C2328"/>
    <w:rsid w:val="001E1381"/>
    <w:rsid w:val="001E2217"/>
    <w:rsid w:val="001E6FAE"/>
    <w:rsid w:val="001F2ECB"/>
    <w:rsid w:val="001F3A3F"/>
    <w:rsid w:val="002154D0"/>
    <w:rsid w:val="00227DD4"/>
    <w:rsid w:val="00230503"/>
    <w:rsid w:val="00240B0F"/>
    <w:rsid w:val="00245F1B"/>
    <w:rsid w:val="00254BA7"/>
    <w:rsid w:val="00264B3D"/>
    <w:rsid w:val="00267B1A"/>
    <w:rsid w:val="00283D04"/>
    <w:rsid w:val="00295694"/>
    <w:rsid w:val="002B2067"/>
    <w:rsid w:val="002B3E3C"/>
    <w:rsid w:val="002C02D4"/>
    <w:rsid w:val="002D5062"/>
    <w:rsid w:val="002D744B"/>
    <w:rsid w:val="002E3409"/>
    <w:rsid w:val="003019F4"/>
    <w:rsid w:val="00307151"/>
    <w:rsid w:val="003176C0"/>
    <w:rsid w:val="00321FC4"/>
    <w:rsid w:val="003349B1"/>
    <w:rsid w:val="003677AE"/>
    <w:rsid w:val="00373420"/>
    <w:rsid w:val="003E40DD"/>
    <w:rsid w:val="003E6830"/>
    <w:rsid w:val="00403E51"/>
    <w:rsid w:val="00411DED"/>
    <w:rsid w:val="00415D43"/>
    <w:rsid w:val="00424243"/>
    <w:rsid w:val="004325EC"/>
    <w:rsid w:val="00446179"/>
    <w:rsid w:val="00461A7D"/>
    <w:rsid w:val="00465077"/>
    <w:rsid w:val="00470AB3"/>
    <w:rsid w:val="004758C0"/>
    <w:rsid w:val="004A3EC8"/>
    <w:rsid w:val="004A6285"/>
    <w:rsid w:val="004D5CE6"/>
    <w:rsid w:val="004D5FB6"/>
    <w:rsid w:val="004E4CE2"/>
    <w:rsid w:val="00504215"/>
    <w:rsid w:val="005322DB"/>
    <w:rsid w:val="0054305A"/>
    <w:rsid w:val="005459AF"/>
    <w:rsid w:val="005527F5"/>
    <w:rsid w:val="00562780"/>
    <w:rsid w:val="005631C6"/>
    <w:rsid w:val="005659CB"/>
    <w:rsid w:val="0056616E"/>
    <w:rsid w:val="005A341F"/>
    <w:rsid w:val="005B4899"/>
    <w:rsid w:val="005B76EC"/>
    <w:rsid w:val="005C0F13"/>
    <w:rsid w:val="005C2561"/>
    <w:rsid w:val="005C2D92"/>
    <w:rsid w:val="005C6F2D"/>
    <w:rsid w:val="005D0ABD"/>
    <w:rsid w:val="005E1C17"/>
    <w:rsid w:val="00605023"/>
    <w:rsid w:val="00605791"/>
    <w:rsid w:val="0062042F"/>
    <w:rsid w:val="00623710"/>
    <w:rsid w:val="00623C51"/>
    <w:rsid w:val="00631C5F"/>
    <w:rsid w:val="00632C8C"/>
    <w:rsid w:val="00645FDC"/>
    <w:rsid w:val="00650812"/>
    <w:rsid w:val="00662FED"/>
    <w:rsid w:val="00676EA0"/>
    <w:rsid w:val="00685837"/>
    <w:rsid w:val="006B080A"/>
    <w:rsid w:val="006B74BB"/>
    <w:rsid w:val="006B7A89"/>
    <w:rsid w:val="006C2BBD"/>
    <w:rsid w:val="006C7FAF"/>
    <w:rsid w:val="006F1917"/>
    <w:rsid w:val="007266BD"/>
    <w:rsid w:val="00734977"/>
    <w:rsid w:val="00784FFC"/>
    <w:rsid w:val="007859C6"/>
    <w:rsid w:val="007C02BD"/>
    <w:rsid w:val="007F7C47"/>
    <w:rsid w:val="00805185"/>
    <w:rsid w:val="00813A83"/>
    <w:rsid w:val="008269B8"/>
    <w:rsid w:val="0083454B"/>
    <w:rsid w:val="00864176"/>
    <w:rsid w:val="008876C3"/>
    <w:rsid w:val="008B6C4C"/>
    <w:rsid w:val="008E0926"/>
    <w:rsid w:val="008E7832"/>
    <w:rsid w:val="008F561C"/>
    <w:rsid w:val="008F6E89"/>
    <w:rsid w:val="00932326"/>
    <w:rsid w:val="00945B18"/>
    <w:rsid w:val="0095142B"/>
    <w:rsid w:val="00980FA8"/>
    <w:rsid w:val="009867C4"/>
    <w:rsid w:val="009E6C8E"/>
    <w:rsid w:val="00A16AD8"/>
    <w:rsid w:val="00A40C6A"/>
    <w:rsid w:val="00A46F63"/>
    <w:rsid w:val="00A508C9"/>
    <w:rsid w:val="00A54B49"/>
    <w:rsid w:val="00A55E80"/>
    <w:rsid w:val="00A65390"/>
    <w:rsid w:val="00A71261"/>
    <w:rsid w:val="00A8003D"/>
    <w:rsid w:val="00A83EDD"/>
    <w:rsid w:val="00AA24D6"/>
    <w:rsid w:val="00AB2328"/>
    <w:rsid w:val="00AE1A07"/>
    <w:rsid w:val="00AE5E90"/>
    <w:rsid w:val="00B27EF9"/>
    <w:rsid w:val="00B45043"/>
    <w:rsid w:val="00B648E6"/>
    <w:rsid w:val="00BC30DD"/>
    <w:rsid w:val="00BD6167"/>
    <w:rsid w:val="00BD7432"/>
    <w:rsid w:val="00BE3926"/>
    <w:rsid w:val="00BF38D5"/>
    <w:rsid w:val="00C27349"/>
    <w:rsid w:val="00C42A9E"/>
    <w:rsid w:val="00C4572C"/>
    <w:rsid w:val="00C46BCE"/>
    <w:rsid w:val="00C63DE7"/>
    <w:rsid w:val="00CA1897"/>
    <w:rsid w:val="00CA2148"/>
    <w:rsid w:val="00CD283A"/>
    <w:rsid w:val="00CD4D32"/>
    <w:rsid w:val="00CD4EA0"/>
    <w:rsid w:val="00CE1659"/>
    <w:rsid w:val="00CF6760"/>
    <w:rsid w:val="00D125E4"/>
    <w:rsid w:val="00D30116"/>
    <w:rsid w:val="00D448DB"/>
    <w:rsid w:val="00D51326"/>
    <w:rsid w:val="00D62007"/>
    <w:rsid w:val="00D72DE1"/>
    <w:rsid w:val="00D93DB9"/>
    <w:rsid w:val="00DA3F08"/>
    <w:rsid w:val="00DA5D9E"/>
    <w:rsid w:val="00DD604C"/>
    <w:rsid w:val="00DF1287"/>
    <w:rsid w:val="00E31B8F"/>
    <w:rsid w:val="00E32D42"/>
    <w:rsid w:val="00E417BC"/>
    <w:rsid w:val="00E54FFD"/>
    <w:rsid w:val="00E83D5F"/>
    <w:rsid w:val="00E85BAC"/>
    <w:rsid w:val="00E96284"/>
    <w:rsid w:val="00ED3969"/>
    <w:rsid w:val="00EF3888"/>
    <w:rsid w:val="00F25ECE"/>
    <w:rsid w:val="00F30793"/>
    <w:rsid w:val="00F54EDC"/>
    <w:rsid w:val="00F9298F"/>
    <w:rsid w:val="00FA3605"/>
    <w:rsid w:val="00FB5729"/>
    <w:rsid w:val="00FC3A9F"/>
    <w:rsid w:val="273D6E63"/>
    <w:rsid w:val="31887FD2"/>
    <w:rsid w:val="38CB2927"/>
    <w:rsid w:val="4B1819CB"/>
    <w:rsid w:val="4E9C6E71"/>
    <w:rsid w:val="632C7220"/>
    <w:rsid w:val="77D85A47"/>
    <w:rsid w:val="78A21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45AF2E-057F-4808-83C9-6BB4FDA0FAFB}">
  <ds:schemaRefs/>
</ds:datastoreItem>
</file>

<file path=docProps/app.xml><?xml version="1.0" encoding="utf-8"?>
<Properties xmlns="http://schemas.openxmlformats.org/officeDocument/2006/extended-properties" xmlns:vt="http://schemas.openxmlformats.org/officeDocument/2006/docPropsVTypes">
  <Template>Normal</Template>
  <Pages>6</Pages>
  <Words>566</Words>
  <Characters>3232</Characters>
  <Lines>26</Lines>
  <Paragraphs>7</Paragraphs>
  <TotalTime>28</TotalTime>
  <ScaleCrop>false</ScaleCrop>
  <LinksUpToDate>false</LinksUpToDate>
  <CharactersWithSpaces>3791</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2021-11-02T03:46:00Z</dcterms:created>
  <dc:creator>ZQ</dc:creator>
  <cp:lastModifiedBy>麦少君</cp:lastModifiedBy>
  <dcterms:modified xsi:type="dcterms:W3CDTF">2021-12-06T07:56:59Z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105C5CD872634234AB03339F4479DBDB</vt:lpwstr>
  </property>
</Properties>
</file>